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Garamond" w:hAnsi="Garamond" w:cstheme="minorHAnsi"/>
          <w:color w:val="5B9BD5" w:themeColor="accent1"/>
        </w:rPr>
        <w:id w:val="-626620999"/>
        <w:docPartObj>
          <w:docPartGallery w:val="Cover Pages"/>
          <w:docPartUnique/>
        </w:docPartObj>
      </w:sdtPr>
      <w:sdtEndPr>
        <w:rPr>
          <w:color w:val="auto"/>
          <w:highlight w:val="yellow"/>
        </w:rPr>
      </w:sdtEndPr>
      <w:sdtContent>
        <w:p w14:paraId="1090050D" w14:textId="77777777" w:rsidR="00636816" w:rsidRPr="006B6B51" w:rsidRDefault="00470131" w:rsidP="00636816">
          <w:pPr>
            <w:spacing w:after="0"/>
            <w:rPr>
              <w:rFonts w:ascii="Garamond" w:hAnsi="Garamond" w:cstheme="minorHAnsi"/>
            </w:rPr>
          </w:pPr>
          <w:r w:rsidRPr="006B6B51">
            <w:rPr>
              <w:rFonts w:ascii="Garamond" w:hAnsi="Garamond" w:cstheme="minorHAnsi"/>
              <w:noProof/>
              <w:lang w:eastAsia="fr-FR"/>
            </w:rPr>
            <w:drawing>
              <wp:anchor distT="0" distB="0" distL="114300" distR="114300" simplePos="0" relativeHeight="251660288" behindDoc="0" locked="0" layoutInCell="1" allowOverlap="1" wp14:anchorId="448D3451" wp14:editId="781CED1A">
                <wp:simplePos x="0" y="0"/>
                <wp:positionH relativeFrom="column">
                  <wp:posOffset>4025373</wp:posOffset>
                </wp:positionH>
                <wp:positionV relativeFrom="paragraph">
                  <wp:posOffset>-547561</wp:posOffset>
                </wp:positionV>
                <wp:extent cx="1371828" cy="2762013"/>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conférence financeurs 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828" cy="2762013"/>
                        </a:xfrm>
                        <a:prstGeom prst="rect">
                          <a:avLst/>
                        </a:prstGeom>
                      </pic:spPr>
                    </pic:pic>
                  </a:graphicData>
                </a:graphic>
                <wp14:sizeRelH relativeFrom="margin">
                  <wp14:pctWidth>0</wp14:pctWidth>
                </wp14:sizeRelH>
                <wp14:sizeRelV relativeFrom="margin">
                  <wp14:pctHeight>0</wp14:pctHeight>
                </wp14:sizeRelV>
              </wp:anchor>
            </w:drawing>
          </w:r>
          <w:r w:rsidRPr="006B6B51">
            <w:rPr>
              <w:rFonts w:ascii="Garamond" w:hAnsi="Garamond" w:cstheme="minorHAnsi"/>
              <w:noProof/>
              <w:lang w:eastAsia="fr-FR"/>
            </w:rPr>
            <w:drawing>
              <wp:anchor distT="0" distB="0" distL="114300" distR="114300" simplePos="0" relativeHeight="251656192" behindDoc="0" locked="0" layoutInCell="1" allowOverlap="1" wp14:anchorId="08C0EAF2" wp14:editId="6C01F9FD">
                <wp:simplePos x="0" y="0"/>
                <wp:positionH relativeFrom="margin">
                  <wp:posOffset>-43132</wp:posOffset>
                </wp:positionH>
                <wp:positionV relativeFrom="paragraph">
                  <wp:posOffset>5080</wp:posOffset>
                </wp:positionV>
                <wp:extent cx="3176270" cy="166433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6270" cy="1664335"/>
                        </a:xfrm>
                        <a:prstGeom prst="rect">
                          <a:avLst/>
                        </a:prstGeom>
                        <a:noFill/>
                      </pic:spPr>
                    </pic:pic>
                  </a:graphicData>
                </a:graphic>
              </wp:anchor>
            </w:drawing>
          </w:r>
          <w:r w:rsidR="00636816" w:rsidRPr="006B6B51">
            <w:rPr>
              <w:rFonts w:ascii="Garamond" w:hAnsi="Garamond" w:cstheme="minorHAnsi"/>
            </w:rPr>
            <w:t xml:space="preserve">                         </w:t>
          </w:r>
        </w:p>
        <w:p w14:paraId="001E7AB9" w14:textId="77777777" w:rsidR="00636816" w:rsidRPr="006B6B51" w:rsidRDefault="00636816" w:rsidP="00636816">
          <w:pPr>
            <w:spacing w:after="0"/>
            <w:rPr>
              <w:rFonts w:ascii="Garamond" w:hAnsi="Garamond" w:cstheme="minorHAnsi"/>
            </w:rPr>
          </w:pPr>
        </w:p>
        <w:p w14:paraId="2C56CB1F" w14:textId="77777777" w:rsidR="00636816" w:rsidRPr="006B6B51" w:rsidRDefault="00636816" w:rsidP="00636816">
          <w:pPr>
            <w:spacing w:after="0"/>
            <w:rPr>
              <w:rFonts w:ascii="Garamond" w:hAnsi="Garamond" w:cstheme="minorHAnsi"/>
            </w:rPr>
          </w:pPr>
        </w:p>
        <w:p w14:paraId="18BB3BC8" w14:textId="77777777" w:rsidR="00636816" w:rsidRPr="006B6B51" w:rsidRDefault="00636816" w:rsidP="00636816">
          <w:pPr>
            <w:spacing w:after="0"/>
            <w:rPr>
              <w:rFonts w:ascii="Garamond" w:hAnsi="Garamond" w:cstheme="minorHAnsi"/>
            </w:rPr>
          </w:pPr>
        </w:p>
        <w:p w14:paraId="61F12F83" w14:textId="77777777" w:rsidR="00636816" w:rsidRPr="006B6B51" w:rsidRDefault="00636816" w:rsidP="00636816">
          <w:pPr>
            <w:spacing w:after="0"/>
            <w:rPr>
              <w:rFonts w:ascii="Garamond" w:hAnsi="Garamond" w:cstheme="minorHAnsi"/>
            </w:rPr>
          </w:pPr>
        </w:p>
        <w:p w14:paraId="7CB895D8" w14:textId="77777777" w:rsidR="00636816" w:rsidRPr="006B6B51" w:rsidRDefault="00636816" w:rsidP="00636816">
          <w:pPr>
            <w:spacing w:after="0"/>
            <w:rPr>
              <w:rFonts w:ascii="Garamond" w:hAnsi="Garamond" w:cstheme="minorHAnsi"/>
            </w:rPr>
          </w:pPr>
        </w:p>
        <w:p w14:paraId="505976D4" w14:textId="77777777" w:rsidR="00636816" w:rsidRPr="006B6B51" w:rsidRDefault="00636816" w:rsidP="00636816">
          <w:pPr>
            <w:spacing w:after="0"/>
            <w:rPr>
              <w:rFonts w:ascii="Garamond" w:hAnsi="Garamond" w:cstheme="minorHAnsi"/>
            </w:rPr>
          </w:pPr>
        </w:p>
        <w:p w14:paraId="13308A7F" w14:textId="77777777" w:rsidR="00636816" w:rsidRPr="006B6B51" w:rsidRDefault="00636816" w:rsidP="00636816">
          <w:pPr>
            <w:spacing w:after="0"/>
            <w:rPr>
              <w:rFonts w:ascii="Garamond" w:hAnsi="Garamond" w:cstheme="minorHAnsi"/>
            </w:rPr>
          </w:pPr>
        </w:p>
        <w:p w14:paraId="483DD7B1" w14:textId="77777777" w:rsidR="00636816" w:rsidRPr="006B6B51" w:rsidRDefault="00636816" w:rsidP="00636816">
          <w:pPr>
            <w:spacing w:after="0"/>
            <w:rPr>
              <w:rFonts w:ascii="Garamond" w:hAnsi="Garamond" w:cstheme="minorHAnsi"/>
            </w:rPr>
          </w:pPr>
        </w:p>
        <w:p w14:paraId="07888BED" w14:textId="77777777" w:rsidR="00636816" w:rsidRPr="006B6B51" w:rsidRDefault="00636816" w:rsidP="00636816">
          <w:pPr>
            <w:spacing w:after="0"/>
            <w:rPr>
              <w:rFonts w:ascii="Garamond" w:hAnsi="Garamond" w:cstheme="minorHAnsi"/>
            </w:rPr>
          </w:pPr>
        </w:p>
        <w:p w14:paraId="1C6CC8C9" w14:textId="77777777" w:rsidR="00636816" w:rsidRDefault="00636816" w:rsidP="00636816">
          <w:pPr>
            <w:spacing w:after="0"/>
            <w:rPr>
              <w:rFonts w:ascii="Garamond" w:hAnsi="Garamond" w:cstheme="minorHAnsi"/>
            </w:rPr>
          </w:pPr>
        </w:p>
        <w:p w14:paraId="2B6B67D9" w14:textId="77777777" w:rsidR="006B6B51" w:rsidRDefault="006B6B51" w:rsidP="00636816">
          <w:pPr>
            <w:spacing w:after="0"/>
            <w:rPr>
              <w:rFonts w:ascii="Garamond" w:hAnsi="Garamond" w:cstheme="minorHAnsi"/>
            </w:rPr>
          </w:pPr>
        </w:p>
        <w:p w14:paraId="527BADCC" w14:textId="77777777" w:rsidR="006B6B51" w:rsidRPr="006B6B51" w:rsidRDefault="006B6B51" w:rsidP="00636816">
          <w:pPr>
            <w:spacing w:after="0"/>
            <w:rPr>
              <w:rFonts w:ascii="Garamond" w:hAnsi="Garamond" w:cstheme="minorHAnsi"/>
            </w:rPr>
          </w:pPr>
        </w:p>
        <w:p w14:paraId="145F77A7" w14:textId="77777777" w:rsidR="00636816" w:rsidRPr="006B6B51" w:rsidRDefault="00636816" w:rsidP="00636816">
          <w:pPr>
            <w:spacing w:after="0"/>
            <w:rPr>
              <w:rFonts w:ascii="Garamond" w:hAnsi="Garamond" w:cstheme="minorHAnsi"/>
            </w:rPr>
          </w:pPr>
        </w:p>
        <w:p w14:paraId="2D7DF0B9" w14:textId="77777777"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rPr>
              <w:rFonts w:ascii="Garamond" w:hAnsi="Garamond" w:cstheme="minorHAnsi"/>
              <w:b/>
            </w:rPr>
          </w:pPr>
        </w:p>
        <w:p w14:paraId="5388C5BE" w14:textId="77777777"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hAnsi="Garamond" w:cstheme="minorHAnsi"/>
              <w:b/>
              <w:caps/>
            </w:rPr>
          </w:pPr>
          <w:r w:rsidRPr="006B6B51">
            <w:rPr>
              <w:rFonts w:ascii="Garamond" w:hAnsi="Garamond" w:cstheme="minorHAnsi"/>
              <w:b/>
              <w:caps/>
            </w:rPr>
            <w:t xml:space="preserve">APPEL A PROJET </w:t>
          </w:r>
        </w:p>
        <w:p w14:paraId="4116F060" w14:textId="77777777"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hAnsi="Garamond" w:cstheme="minorHAnsi"/>
              <w:b/>
              <w:caps/>
            </w:rPr>
          </w:pPr>
        </w:p>
        <w:p w14:paraId="2810715D" w14:textId="14EA3F7B"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hAnsi="Garamond" w:cstheme="minorHAnsi"/>
              <w:b/>
              <w:caps/>
            </w:rPr>
          </w:pPr>
          <w:r w:rsidRPr="006B6B51">
            <w:rPr>
              <w:rFonts w:ascii="Garamond" w:hAnsi="Garamond" w:cstheme="minorHAnsi"/>
              <w:b/>
              <w:caps/>
            </w:rPr>
            <w:t>PRE-SELECTION DE P</w:t>
          </w:r>
          <w:r w:rsidRPr="00C409F4">
            <w:rPr>
              <w:rFonts w:ascii="Garamond" w:hAnsi="Garamond" w:cstheme="minorHAnsi"/>
              <w:b/>
              <w:caps/>
            </w:rPr>
            <w:t>ROJET</w:t>
          </w:r>
          <w:r w:rsidR="00546315" w:rsidRPr="00C409F4">
            <w:rPr>
              <w:rFonts w:ascii="Garamond" w:hAnsi="Garamond" w:cstheme="minorHAnsi"/>
              <w:b/>
              <w:caps/>
            </w:rPr>
            <w:t>S</w:t>
          </w:r>
          <w:r w:rsidRPr="006B6B51">
            <w:rPr>
              <w:rFonts w:ascii="Garamond" w:hAnsi="Garamond" w:cstheme="minorHAnsi"/>
              <w:b/>
              <w:caps/>
            </w:rPr>
            <w:t xml:space="preserve"> </w:t>
          </w:r>
        </w:p>
        <w:p w14:paraId="19D9B223" w14:textId="77777777"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hAnsi="Garamond" w:cstheme="minorHAnsi"/>
              <w:b/>
              <w:caps/>
            </w:rPr>
          </w:pPr>
          <w:r w:rsidRPr="006B6B51">
            <w:rPr>
              <w:rFonts w:ascii="Garamond" w:hAnsi="Garamond" w:cstheme="minorHAnsi"/>
              <w:b/>
              <w:caps/>
            </w:rPr>
            <w:t>POUR LA PREVENTION DE LA PERTE D’AUTONOMIE DES PERSONNES aGEES DE 60 ANS ET PLUS</w:t>
          </w:r>
        </w:p>
        <w:p w14:paraId="4F93A8C7" w14:textId="77777777"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b/>
              <w:caps/>
              <w:lang w:eastAsia="fr-FR"/>
            </w:rPr>
          </w:pPr>
        </w:p>
        <w:p w14:paraId="6EBEBFBE" w14:textId="77777777" w:rsidR="00636816" w:rsidRPr="006B6B51" w:rsidRDefault="00636816" w:rsidP="00636816">
          <w:pPr>
            <w:pBdr>
              <w:top w:val="single" w:sz="4" w:space="0" w:color="auto"/>
              <w:left w:val="single" w:sz="4" w:space="4" w:color="auto"/>
              <w:bottom w:val="single" w:sz="4" w:space="1" w:color="auto"/>
              <w:right w:val="single" w:sz="4" w:space="4" w:color="auto"/>
            </w:pBdr>
            <w:tabs>
              <w:tab w:val="left" w:pos="567"/>
              <w:tab w:val="left" w:pos="709"/>
            </w:tabs>
            <w:spacing w:after="0"/>
            <w:jc w:val="center"/>
            <w:rPr>
              <w:rFonts w:ascii="Garamond" w:eastAsiaTheme="minorEastAsia" w:hAnsi="Garamond" w:cstheme="minorHAnsi"/>
              <w:lang w:eastAsia="fr-FR"/>
            </w:rPr>
          </w:pPr>
          <w:r w:rsidRPr="006B6B51">
            <w:rPr>
              <w:rFonts w:ascii="Garamond" w:eastAsiaTheme="minorEastAsia" w:hAnsi="Garamond" w:cstheme="minorHAnsi"/>
              <w:b/>
              <w:caps/>
              <w:lang w:eastAsia="fr-FR"/>
            </w:rPr>
            <w:t>conferenCE DES FINANCEURS DE LA PREVENTION DE LA PERTE D’AUTONOMIE DES YVELINES ET DES HAUTS-DE-SEINE</w:t>
          </w:r>
        </w:p>
        <w:p w14:paraId="26CED9FB" w14:textId="77777777" w:rsidR="00636816" w:rsidRPr="006B6B51" w:rsidRDefault="00636816" w:rsidP="00636816">
          <w:pPr>
            <w:tabs>
              <w:tab w:val="left" w:pos="567"/>
              <w:tab w:val="left" w:pos="709"/>
            </w:tabs>
            <w:spacing w:after="0"/>
            <w:jc w:val="center"/>
            <w:rPr>
              <w:rFonts w:ascii="Garamond" w:hAnsi="Garamond" w:cstheme="minorHAnsi"/>
              <w:b/>
            </w:rPr>
          </w:pPr>
        </w:p>
        <w:p w14:paraId="688D32B2" w14:textId="77777777" w:rsidR="00636816" w:rsidRPr="006B6B51" w:rsidRDefault="00636816" w:rsidP="00636816">
          <w:pPr>
            <w:tabs>
              <w:tab w:val="left" w:pos="709"/>
            </w:tabs>
            <w:spacing w:after="0"/>
            <w:jc w:val="center"/>
            <w:rPr>
              <w:rFonts w:ascii="Garamond" w:eastAsiaTheme="minorEastAsia" w:hAnsi="Garamond" w:cstheme="minorHAnsi"/>
              <w:b/>
              <w:lang w:eastAsia="fr-FR"/>
            </w:rPr>
          </w:pPr>
          <w:r w:rsidRPr="006B6B51">
            <w:rPr>
              <w:rFonts w:ascii="Garamond" w:eastAsiaTheme="minorEastAsia" w:hAnsi="Garamond" w:cstheme="minorHAnsi"/>
              <w:b/>
              <w:lang w:eastAsia="fr-FR"/>
            </w:rPr>
            <w:t>AUTORITE</w:t>
          </w:r>
          <w:r w:rsidR="005F68EC" w:rsidRPr="006B6B51">
            <w:rPr>
              <w:rFonts w:ascii="Garamond" w:eastAsiaTheme="minorEastAsia" w:hAnsi="Garamond" w:cstheme="minorHAnsi"/>
              <w:b/>
              <w:lang w:eastAsia="fr-FR"/>
            </w:rPr>
            <w:t>S</w:t>
          </w:r>
          <w:r w:rsidRPr="006B6B51">
            <w:rPr>
              <w:rFonts w:ascii="Garamond" w:eastAsiaTheme="minorEastAsia" w:hAnsi="Garamond" w:cstheme="minorHAnsi"/>
              <w:b/>
              <w:lang w:eastAsia="fr-FR"/>
            </w:rPr>
            <w:t xml:space="preserve"> RESPONSABLE</w:t>
          </w:r>
          <w:r w:rsidR="005F68EC" w:rsidRPr="006B6B51">
            <w:rPr>
              <w:rFonts w:ascii="Garamond" w:eastAsiaTheme="minorEastAsia" w:hAnsi="Garamond" w:cstheme="minorHAnsi"/>
              <w:b/>
              <w:lang w:eastAsia="fr-FR"/>
            </w:rPr>
            <w:t>S</w:t>
          </w:r>
        </w:p>
        <w:p w14:paraId="0BDEBF91" w14:textId="77777777" w:rsidR="00636816" w:rsidRPr="006B6B51" w:rsidRDefault="00636816" w:rsidP="00636816">
          <w:pPr>
            <w:tabs>
              <w:tab w:val="left" w:pos="709"/>
            </w:tabs>
            <w:spacing w:after="0"/>
            <w:jc w:val="center"/>
            <w:rPr>
              <w:rFonts w:ascii="Garamond" w:eastAsiaTheme="minorEastAsia" w:hAnsi="Garamond" w:cstheme="minorHAnsi"/>
              <w:b/>
              <w:lang w:eastAsia="fr-FR"/>
            </w:rPr>
          </w:pPr>
        </w:p>
        <w:tbl>
          <w:tblPr>
            <w:tblStyle w:val="Grilledutableau"/>
            <w:tblW w:w="9209" w:type="dxa"/>
            <w:tblLook w:val="04A0" w:firstRow="1" w:lastRow="0" w:firstColumn="1" w:lastColumn="0" w:noHBand="0" w:noVBand="1"/>
          </w:tblPr>
          <w:tblGrid>
            <w:gridCol w:w="9209"/>
          </w:tblGrid>
          <w:tr w:rsidR="00636816" w:rsidRPr="006B6B51" w14:paraId="779A90CD" w14:textId="77777777" w:rsidTr="00165AB7">
            <w:tc>
              <w:tcPr>
                <w:tcW w:w="9209" w:type="dxa"/>
              </w:tcPr>
              <w:p w14:paraId="7B67DC8A" w14:textId="77777777" w:rsidR="00636816" w:rsidRPr="006B6B51" w:rsidRDefault="00636816" w:rsidP="00636816">
                <w:pPr>
                  <w:tabs>
                    <w:tab w:val="left" w:pos="709"/>
                  </w:tabs>
                  <w:rPr>
                    <w:rFonts w:ascii="Garamond" w:hAnsi="Garamond" w:cstheme="minorHAnsi"/>
                    <w:b/>
                  </w:rPr>
                </w:pPr>
                <w:r w:rsidRPr="006B6B51">
                  <w:rPr>
                    <w:rFonts w:ascii="Garamond" w:hAnsi="Garamond" w:cstheme="minorHAnsi"/>
                    <w:b/>
                  </w:rPr>
                  <w:t>Le Président du Conseil départemental des Yvelines</w:t>
                </w:r>
              </w:p>
              <w:p w14:paraId="5A84832E" w14:textId="77777777" w:rsidR="00636816" w:rsidRPr="006B6B51" w:rsidRDefault="00636816" w:rsidP="00636816">
                <w:pPr>
                  <w:tabs>
                    <w:tab w:val="left" w:pos="709"/>
                  </w:tabs>
                  <w:rPr>
                    <w:rFonts w:ascii="Garamond" w:hAnsi="Garamond" w:cstheme="minorHAnsi"/>
                    <w:b/>
                  </w:rPr>
                </w:pPr>
                <w:r w:rsidRPr="006B6B51">
                  <w:rPr>
                    <w:rFonts w:ascii="Garamond" w:hAnsi="Garamond" w:cstheme="minorHAnsi"/>
                    <w:b/>
                  </w:rPr>
                  <w:t>Agissant en tant que Président de la Conférence des financeurs de la prévention de la perte d’autonomie des personnes âgées de 60 ans et plus</w:t>
                </w:r>
              </w:p>
              <w:p w14:paraId="28A96F07" w14:textId="77777777" w:rsidR="00636816" w:rsidRPr="006B6B51" w:rsidRDefault="00636816" w:rsidP="00636816">
                <w:pPr>
                  <w:tabs>
                    <w:tab w:val="left" w:pos="709"/>
                  </w:tabs>
                  <w:rPr>
                    <w:rFonts w:ascii="Garamond" w:hAnsi="Garamond" w:cstheme="minorHAnsi"/>
                    <w:b/>
                  </w:rPr>
                </w:pPr>
              </w:p>
              <w:p w14:paraId="071527ED" w14:textId="77777777" w:rsidR="00636816" w:rsidRPr="006B6B51" w:rsidRDefault="00636816" w:rsidP="00636816">
                <w:pPr>
                  <w:tabs>
                    <w:tab w:val="left" w:pos="709"/>
                  </w:tabs>
                  <w:rPr>
                    <w:rFonts w:ascii="Garamond" w:eastAsiaTheme="minorEastAsia" w:hAnsi="Garamond" w:cstheme="minorHAnsi"/>
                    <w:b/>
                    <w:lang w:eastAsia="fr-FR"/>
                  </w:rPr>
                </w:pPr>
                <w:r w:rsidRPr="006B6B51">
                  <w:rPr>
                    <w:rFonts w:ascii="Garamond" w:hAnsi="Garamond" w:cstheme="minorHAnsi"/>
                    <w:b/>
                  </w:rPr>
                  <w:t>Conseil dé</w:t>
                </w:r>
                <w:r w:rsidRPr="006B6B51">
                  <w:rPr>
                    <w:rFonts w:ascii="Garamond" w:eastAsiaTheme="minorEastAsia" w:hAnsi="Garamond" w:cstheme="minorHAnsi"/>
                    <w:b/>
                    <w:lang w:eastAsia="fr-FR"/>
                  </w:rPr>
                  <w:t>partemental des Yvelines</w:t>
                </w:r>
              </w:p>
              <w:p w14:paraId="51A97468" w14:textId="77777777" w:rsidR="00636816" w:rsidRPr="006B6B51" w:rsidRDefault="00636816" w:rsidP="00636816">
                <w:pPr>
                  <w:tabs>
                    <w:tab w:val="left" w:pos="709"/>
                  </w:tabs>
                  <w:rPr>
                    <w:rFonts w:ascii="Garamond" w:eastAsiaTheme="minorEastAsia" w:hAnsi="Garamond" w:cstheme="minorHAnsi"/>
                    <w:lang w:eastAsia="fr-FR"/>
                  </w:rPr>
                </w:pPr>
                <w:r w:rsidRPr="006B6B51">
                  <w:rPr>
                    <w:rFonts w:ascii="Garamond" w:eastAsiaTheme="minorEastAsia" w:hAnsi="Garamond" w:cstheme="minorHAnsi"/>
                    <w:lang w:eastAsia="fr-FR"/>
                  </w:rPr>
                  <w:t>2, place André Mignot</w:t>
                </w:r>
              </w:p>
              <w:p w14:paraId="6CE3944B" w14:textId="77777777" w:rsidR="00636816" w:rsidRPr="006B6B51" w:rsidRDefault="00636816" w:rsidP="00636816">
                <w:pPr>
                  <w:tabs>
                    <w:tab w:val="left" w:pos="709"/>
                  </w:tabs>
                  <w:rPr>
                    <w:rFonts w:ascii="Garamond" w:eastAsiaTheme="minorEastAsia" w:hAnsi="Garamond" w:cstheme="minorHAnsi"/>
                    <w:lang w:eastAsia="fr-FR"/>
                  </w:rPr>
                </w:pPr>
                <w:r w:rsidRPr="006B6B51">
                  <w:rPr>
                    <w:rFonts w:ascii="Garamond" w:eastAsiaTheme="minorEastAsia" w:hAnsi="Garamond" w:cstheme="minorHAnsi"/>
                    <w:lang w:eastAsia="fr-FR"/>
                  </w:rPr>
                  <w:t>78000 Versailles</w:t>
                </w:r>
              </w:p>
              <w:p w14:paraId="71BCEB44" w14:textId="77777777" w:rsidR="00636816" w:rsidRPr="006B6B51" w:rsidRDefault="00636816" w:rsidP="00636816">
                <w:pPr>
                  <w:tabs>
                    <w:tab w:val="left" w:pos="284"/>
                    <w:tab w:val="left" w:pos="709"/>
                  </w:tabs>
                  <w:jc w:val="left"/>
                  <w:rPr>
                    <w:rFonts w:ascii="Garamond" w:eastAsiaTheme="minorEastAsia" w:hAnsi="Garamond" w:cstheme="minorHAnsi"/>
                    <w:b/>
                    <w:lang w:eastAsia="fr-FR"/>
                  </w:rPr>
                </w:pPr>
              </w:p>
            </w:tc>
          </w:tr>
        </w:tbl>
        <w:p w14:paraId="7FB20779" w14:textId="77777777" w:rsidR="00636816" w:rsidRPr="006B6B51" w:rsidRDefault="00636816" w:rsidP="00636816">
          <w:pPr>
            <w:tabs>
              <w:tab w:val="left" w:pos="709"/>
            </w:tabs>
            <w:spacing w:after="0"/>
            <w:rPr>
              <w:rFonts w:ascii="Garamond" w:eastAsiaTheme="minorEastAsia" w:hAnsi="Garamond" w:cstheme="minorHAnsi"/>
              <w:b/>
              <w:lang w:eastAsia="fr-FR"/>
            </w:rPr>
          </w:pPr>
        </w:p>
        <w:tbl>
          <w:tblPr>
            <w:tblStyle w:val="Grilledutableau"/>
            <w:tblW w:w="9225" w:type="dxa"/>
            <w:tblLook w:val="04A0" w:firstRow="1" w:lastRow="0" w:firstColumn="1" w:lastColumn="0" w:noHBand="0" w:noVBand="1"/>
          </w:tblPr>
          <w:tblGrid>
            <w:gridCol w:w="9225"/>
          </w:tblGrid>
          <w:tr w:rsidR="00636816" w:rsidRPr="006B6B51" w14:paraId="0C8D1767" w14:textId="77777777" w:rsidTr="00636816">
            <w:trPr>
              <w:trHeight w:val="1643"/>
            </w:trPr>
            <w:tc>
              <w:tcPr>
                <w:tcW w:w="9225" w:type="dxa"/>
              </w:tcPr>
              <w:p w14:paraId="6BD5A8A9" w14:textId="77777777" w:rsidR="005F68EC" w:rsidRPr="006B6B51" w:rsidRDefault="005F68EC" w:rsidP="005F68EC">
                <w:pPr>
                  <w:tabs>
                    <w:tab w:val="left" w:pos="709"/>
                  </w:tabs>
                  <w:rPr>
                    <w:rFonts w:ascii="Garamond" w:hAnsi="Garamond" w:cstheme="minorHAnsi"/>
                    <w:b/>
                  </w:rPr>
                </w:pPr>
                <w:r w:rsidRPr="006B6B51">
                  <w:rPr>
                    <w:rFonts w:ascii="Garamond" w:hAnsi="Garamond" w:cstheme="minorHAnsi"/>
                    <w:b/>
                  </w:rPr>
                  <w:t>Le Président du Conseil départemental des Hauts-de-Seine</w:t>
                </w:r>
              </w:p>
              <w:p w14:paraId="7EB45766" w14:textId="77777777" w:rsidR="005F68EC" w:rsidRPr="006B6B51" w:rsidRDefault="005F68EC" w:rsidP="005F68EC">
                <w:pPr>
                  <w:tabs>
                    <w:tab w:val="left" w:pos="709"/>
                  </w:tabs>
                  <w:rPr>
                    <w:rFonts w:ascii="Garamond" w:hAnsi="Garamond" w:cstheme="minorHAnsi"/>
                    <w:b/>
                  </w:rPr>
                </w:pPr>
                <w:r w:rsidRPr="006B6B51">
                  <w:rPr>
                    <w:rFonts w:ascii="Garamond" w:hAnsi="Garamond" w:cstheme="minorHAnsi"/>
                    <w:b/>
                  </w:rPr>
                  <w:t>Agissant en tant que Président de la Conférence des financeurs de la prévention de la perte d’autonomie des personnes âgées de 60 ans et plus</w:t>
                </w:r>
              </w:p>
              <w:p w14:paraId="6789D592" w14:textId="77777777" w:rsidR="005F68EC" w:rsidRPr="006B6B51" w:rsidRDefault="005F68EC" w:rsidP="00636816">
                <w:pPr>
                  <w:pStyle w:val="Niveau2"/>
                  <w:rPr>
                    <w:rFonts w:ascii="Garamond" w:hAnsi="Garamond" w:cstheme="minorHAnsi"/>
                    <w:noProof/>
                    <w:szCs w:val="22"/>
                  </w:rPr>
                </w:pPr>
              </w:p>
              <w:p w14:paraId="2DD32313" w14:textId="77777777" w:rsidR="005F68EC" w:rsidRPr="006B6B51" w:rsidRDefault="005F68EC" w:rsidP="005F68EC">
                <w:pPr>
                  <w:tabs>
                    <w:tab w:val="left" w:pos="709"/>
                  </w:tabs>
                  <w:rPr>
                    <w:rFonts w:ascii="Garamond" w:eastAsiaTheme="minorEastAsia" w:hAnsi="Garamond" w:cstheme="minorHAnsi"/>
                    <w:b/>
                    <w:lang w:eastAsia="fr-FR"/>
                  </w:rPr>
                </w:pPr>
                <w:r w:rsidRPr="006B6B51">
                  <w:rPr>
                    <w:rFonts w:ascii="Garamond" w:hAnsi="Garamond" w:cstheme="minorHAnsi"/>
                    <w:b/>
                  </w:rPr>
                  <w:t>Conseil dé</w:t>
                </w:r>
                <w:r w:rsidRPr="006B6B51">
                  <w:rPr>
                    <w:rFonts w:ascii="Garamond" w:eastAsiaTheme="minorEastAsia" w:hAnsi="Garamond" w:cstheme="minorHAnsi"/>
                    <w:b/>
                    <w:lang w:eastAsia="fr-FR"/>
                  </w:rPr>
                  <w:t>partemental des Hauts-de-Seine</w:t>
                </w:r>
              </w:p>
              <w:p w14:paraId="17F54BFF" w14:textId="77777777" w:rsidR="00636816" w:rsidRPr="006B6B51" w:rsidRDefault="005F68EC" w:rsidP="00636816">
                <w:pPr>
                  <w:pStyle w:val="Niveau2"/>
                  <w:rPr>
                    <w:rFonts w:ascii="Garamond" w:hAnsi="Garamond" w:cstheme="minorHAnsi"/>
                    <w:b w:val="0"/>
                    <w:noProof/>
                    <w:szCs w:val="22"/>
                  </w:rPr>
                </w:pPr>
                <w:r w:rsidRPr="006B6B51">
                  <w:rPr>
                    <w:rFonts w:ascii="Garamond" w:hAnsi="Garamond" w:cstheme="minorHAnsi"/>
                    <w:b w:val="0"/>
                    <w:noProof/>
                    <w:szCs w:val="22"/>
                  </w:rPr>
                  <w:t xml:space="preserve">Pôle Solidarités </w:t>
                </w:r>
              </w:p>
              <w:p w14:paraId="3871430A" w14:textId="77777777" w:rsidR="00636816" w:rsidRPr="006B6B51" w:rsidRDefault="00636816" w:rsidP="00636816">
                <w:pPr>
                  <w:pStyle w:val="Niveau2"/>
                  <w:rPr>
                    <w:rFonts w:ascii="Garamond" w:hAnsi="Garamond" w:cstheme="minorHAnsi"/>
                    <w:b w:val="0"/>
                    <w:noProof/>
                    <w:szCs w:val="22"/>
                  </w:rPr>
                </w:pPr>
                <w:r w:rsidRPr="006B6B51">
                  <w:rPr>
                    <w:rFonts w:ascii="Garamond" w:hAnsi="Garamond" w:cstheme="minorHAnsi"/>
                    <w:b w:val="0"/>
                    <w:noProof/>
                    <w:szCs w:val="22"/>
                  </w:rPr>
                  <w:t>Conférence des financeurs de la prévention de la perte d’autonomie des personnes âgées</w:t>
                </w:r>
              </w:p>
              <w:p w14:paraId="6C25A275" w14:textId="77777777" w:rsidR="00636816" w:rsidRPr="006B6B51" w:rsidRDefault="00636816" w:rsidP="00636816">
                <w:pPr>
                  <w:jc w:val="left"/>
                  <w:rPr>
                    <w:rFonts w:ascii="Garamond" w:hAnsi="Garamond" w:cstheme="minorHAnsi"/>
                    <w:noProof/>
                  </w:rPr>
                </w:pPr>
                <w:r w:rsidRPr="006B6B51">
                  <w:rPr>
                    <w:rFonts w:ascii="Garamond" w:hAnsi="Garamond" w:cstheme="minorHAnsi"/>
                    <w:noProof/>
                  </w:rPr>
                  <w:t>92731 NANTERRE Cedex</w:t>
                </w:r>
              </w:p>
              <w:p w14:paraId="7AD65BCF" w14:textId="77777777" w:rsidR="00636816" w:rsidRPr="006B6B51" w:rsidRDefault="00636816" w:rsidP="00636816">
                <w:pPr>
                  <w:rPr>
                    <w:rFonts w:ascii="Garamond" w:hAnsi="Garamond" w:cstheme="minorHAnsi"/>
                  </w:rPr>
                </w:pPr>
              </w:p>
            </w:tc>
          </w:tr>
        </w:tbl>
        <w:p w14:paraId="1BC77FFF" w14:textId="77777777" w:rsidR="002309D2" w:rsidRPr="006B6B51" w:rsidRDefault="002309D2" w:rsidP="00636816">
          <w:pPr>
            <w:spacing w:after="0"/>
            <w:rPr>
              <w:rFonts w:ascii="Garamond" w:hAnsi="Garamond" w:cstheme="minorHAnsi"/>
            </w:rPr>
          </w:pPr>
        </w:p>
        <w:p w14:paraId="4F86083E" w14:textId="16A85FBC" w:rsidR="00636816" w:rsidRPr="004308F8" w:rsidRDefault="00636816" w:rsidP="00636816">
          <w:pPr>
            <w:spacing w:after="0"/>
            <w:rPr>
              <w:rFonts w:ascii="Garamond" w:hAnsi="Garamond" w:cstheme="minorHAnsi"/>
              <w:b/>
              <w:color w:val="FF0000"/>
            </w:rPr>
          </w:pPr>
          <w:r w:rsidRPr="00DE620E">
            <w:rPr>
              <w:rFonts w:ascii="Garamond" w:hAnsi="Garamond" w:cstheme="minorHAnsi"/>
            </w:rPr>
            <w:t xml:space="preserve">Date de publication de l’appel à </w:t>
          </w:r>
          <w:r w:rsidR="00F22730" w:rsidRPr="00DE620E">
            <w:rPr>
              <w:rFonts w:ascii="Garamond" w:hAnsi="Garamond" w:cstheme="minorHAnsi"/>
            </w:rPr>
            <w:t xml:space="preserve">projet : </w:t>
          </w:r>
          <w:r w:rsidR="00F22730" w:rsidRPr="00DE620E">
            <w:rPr>
              <w:rFonts w:ascii="Garamond" w:hAnsi="Garamond" w:cstheme="minorHAnsi"/>
            </w:rPr>
            <w:tab/>
          </w:r>
          <w:r w:rsidRPr="00DE620E">
            <w:rPr>
              <w:rFonts w:ascii="Garamond" w:hAnsi="Garamond" w:cstheme="minorHAnsi"/>
            </w:rPr>
            <w:tab/>
          </w:r>
          <w:r w:rsidRPr="00DE620E">
            <w:rPr>
              <w:rFonts w:ascii="Garamond" w:hAnsi="Garamond" w:cstheme="minorHAnsi"/>
            </w:rPr>
            <w:tab/>
          </w:r>
          <w:r w:rsidR="00657BBD" w:rsidRPr="00DE620E">
            <w:rPr>
              <w:rFonts w:ascii="Garamond" w:hAnsi="Garamond" w:cstheme="minorHAnsi"/>
            </w:rPr>
            <w:tab/>
          </w:r>
          <w:r w:rsidR="00F22730" w:rsidRPr="00DE620E">
            <w:rPr>
              <w:rFonts w:ascii="Garamond" w:hAnsi="Garamond" w:cstheme="minorHAnsi"/>
            </w:rPr>
            <w:tab/>
          </w:r>
          <w:r w:rsidR="004308F8">
            <w:rPr>
              <w:rFonts w:ascii="Garamond" w:hAnsi="Garamond" w:cstheme="minorHAnsi"/>
            </w:rPr>
            <w:t xml:space="preserve">      </w:t>
          </w:r>
          <w:r w:rsidR="00B50190" w:rsidRPr="004308F8">
            <w:rPr>
              <w:rFonts w:ascii="Garamond" w:hAnsi="Garamond" w:cstheme="minorHAnsi"/>
              <w:b/>
              <w:color w:val="FF0000"/>
            </w:rPr>
            <w:t>25</w:t>
          </w:r>
          <w:r w:rsidR="00DE620E" w:rsidRPr="004308F8">
            <w:rPr>
              <w:rFonts w:ascii="Garamond" w:hAnsi="Garamond" w:cstheme="minorHAnsi"/>
              <w:b/>
              <w:color w:val="FF0000"/>
            </w:rPr>
            <w:t xml:space="preserve"> </w:t>
          </w:r>
          <w:r w:rsidR="002A1072" w:rsidRPr="004308F8">
            <w:rPr>
              <w:rFonts w:ascii="Garamond" w:hAnsi="Garamond" w:cstheme="minorHAnsi"/>
              <w:b/>
              <w:color w:val="FF0000"/>
            </w:rPr>
            <w:t>mars 2019</w:t>
          </w:r>
        </w:p>
        <w:p w14:paraId="582E0AF5" w14:textId="77777777" w:rsidR="004308F8" w:rsidRDefault="004308F8" w:rsidP="00F3285B">
          <w:pPr>
            <w:spacing w:after="0"/>
            <w:rPr>
              <w:rFonts w:ascii="Garamond" w:hAnsi="Garamond" w:cstheme="minorHAnsi"/>
            </w:rPr>
          </w:pPr>
        </w:p>
        <w:p w14:paraId="4F5212B9" w14:textId="3DCC9668" w:rsidR="006B6B51" w:rsidRPr="004308F8" w:rsidRDefault="00B50190" w:rsidP="00F3285B">
          <w:pPr>
            <w:spacing w:after="0"/>
            <w:rPr>
              <w:rFonts w:ascii="Garamond" w:hAnsi="Garamond" w:cstheme="minorHAnsi"/>
              <w:b/>
              <w:color w:val="FF0000"/>
            </w:rPr>
          </w:pPr>
          <w:r>
            <w:rPr>
              <w:rFonts w:ascii="Garamond" w:hAnsi="Garamond" w:cstheme="minorHAnsi"/>
            </w:rPr>
            <w:t xml:space="preserve">Dépôt des candidatures </w:t>
          </w:r>
          <w:r w:rsidR="00636816" w:rsidRPr="00DE620E">
            <w:rPr>
              <w:rFonts w:ascii="Garamond" w:hAnsi="Garamond" w:cstheme="minorHAnsi"/>
            </w:rPr>
            <w:t xml:space="preserve">: </w:t>
          </w:r>
          <w:r w:rsidR="00636816" w:rsidRPr="00DE620E">
            <w:rPr>
              <w:rFonts w:ascii="Garamond" w:hAnsi="Garamond" w:cstheme="minorHAnsi"/>
            </w:rPr>
            <w:tab/>
          </w:r>
          <w:r w:rsidR="00657BBD" w:rsidRPr="00DE620E">
            <w:rPr>
              <w:rFonts w:ascii="Garamond" w:hAnsi="Garamond" w:cstheme="minorHAnsi"/>
            </w:rPr>
            <w:tab/>
          </w:r>
          <w:r>
            <w:rPr>
              <w:rFonts w:ascii="Garamond" w:hAnsi="Garamond" w:cstheme="minorHAnsi"/>
            </w:rPr>
            <w:t xml:space="preserve">                     </w:t>
          </w:r>
        </w:p>
        <w:p w14:paraId="4D4690C9" w14:textId="3B511217" w:rsidR="006B6B51" w:rsidRPr="004308F8" w:rsidRDefault="004308F8" w:rsidP="004308F8">
          <w:pPr>
            <w:pStyle w:val="Paragraphedeliste"/>
            <w:numPr>
              <w:ilvl w:val="0"/>
              <w:numId w:val="8"/>
            </w:numPr>
            <w:spacing w:after="0"/>
            <w:ind w:right="3969"/>
            <w:rPr>
              <w:rFonts w:ascii="Garamond" w:hAnsi="Garamond" w:cstheme="minorHAnsi"/>
            </w:rPr>
          </w:pPr>
          <w:r>
            <w:rPr>
              <w:rFonts w:ascii="Garamond" w:hAnsi="Garamond" w:cstheme="minorHAnsi"/>
              <w:noProof/>
              <w:lang w:eastAsia="fr-FR"/>
            </w:rPr>
            <mc:AlternateContent>
              <mc:Choice Requires="wps">
                <w:drawing>
                  <wp:anchor distT="0" distB="0" distL="114300" distR="114300" simplePos="0" relativeHeight="251661312" behindDoc="0" locked="0" layoutInCell="1" allowOverlap="1" wp14:anchorId="302FCC4E" wp14:editId="5B84F498">
                    <wp:simplePos x="0" y="0"/>
                    <wp:positionH relativeFrom="column">
                      <wp:posOffset>3639938</wp:posOffset>
                    </wp:positionH>
                    <wp:positionV relativeFrom="paragraph">
                      <wp:posOffset>114329</wp:posOffset>
                    </wp:positionV>
                    <wp:extent cx="2052084" cy="308345"/>
                    <wp:effectExtent l="0" t="0" r="5715" b="0"/>
                    <wp:wrapNone/>
                    <wp:docPr id="2" name="Zone de texte 2"/>
                    <wp:cNvGraphicFramePr/>
                    <a:graphic xmlns:a="http://schemas.openxmlformats.org/drawingml/2006/main">
                      <a:graphicData uri="http://schemas.microsoft.com/office/word/2010/wordprocessingShape">
                        <wps:wsp>
                          <wps:cNvSpPr txBox="1"/>
                          <wps:spPr>
                            <a:xfrm>
                              <a:off x="0" y="0"/>
                              <a:ext cx="2052084" cy="308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13ECF" w14:textId="6CB2DA96" w:rsidR="004308F8" w:rsidRDefault="004308F8">
                                <w:r w:rsidRPr="004308F8">
                                  <w:rPr>
                                    <w:rFonts w:ascii="Garamond" w:hAnsi="Garamond" w:cstheme="minorHAnsi"/>
                                    <w:b/>
                                    <w:color w:val="FF0000"/>
                                  </w:rPr>
                                  <w:t>du 1</w:t>
                                </w:r>
                                <w:r w:rsidRPr="004308F8">
                                  <w:rPr>
                                    <w:rFonts w:ascii="Garamond" w:hAnsi="Garamond" w:cstheme="minorHAnsi"/>
                                    <w:b/>
                                    <w:color w:val="FF0000"/>
                                    <w:vertAlign w:val="superscript"/>
                                  </w:rPr>
                                  <w:t>er</w:t>
                                </w:r>
                                <w:r w:rsidRPr="004308F8">
                                  <w:rPr>
                                    <w:rFonts w:ascii="Garamond" w:hAnsi="Garamond" w:cstheme="minorHAnsi"/>
                                    <w:b/>
                                    <w:color w:val="FF0000"/>
                                  </w:rPr>
                                  <w:t xml:space="preserve"> avril 2019 au 26 avril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CC4E" id="_x0000_t202" coordsize="21600,21600" o:spt="202" path="m,l,21600r21600,l21600,xe">
                    <v:stroke joinstyle="miter"/>
                    <v:path gradientshapeok="t" o:connecttype="rect"/>
                  </v:shapetype>
                  <v:shape id="Zone de texte 2" o:spid="_x0000_s1026" type="#_x0000_t202" style="position:absolute;left:0;text-align:left;margin-left:286.6pt;margin-top:9pt;width:161.6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" fillcolor="white [3201]" stroked="f" strokeweight=".5pt">
                    <v:textbox>
                      <w:txbxContent>
                        <w:p w14:paraId="5AE13ECF" w14:textId="6CB2DA96" w:rsidR="004308F8" w:rsidRDefault="004308F8">
                          <w:r w:rsidRPr="004308F8">
                            <w:rPr>
                              <w:rFonts w:ascii="Garamond" w:hAnsi="Garamond" w:cstheme="minorHAnsi"/>
                              <w:b/>
                              <w:color w:val="FF0000"/>
                            </w:rPr>
                            <w:t>du 1</w:t>
                          </w:r>
                          <w:r w:rsidRPr="004308F8">
                            <w:rPr>
                              <w:rFonts w:ascii="Garamond" w:hAnsi="Garamond" w:cstheme="minorHAnsi"/>
                              <w:b/>
                              <w:color w:val="FF0000"/>
                              <w:vertAlign w:val="superscript"/>
                            </w:rPr>
                            <w:t>er</w:t>
                          </w:r>
                          <w:r w:rsidRPr="004308F8">
                            <w:rPr>
                              <w:rFonts w:ascii="Garamond" w:hAnsi="Garamond" w:cstheme="minorHAnsi"/>
                              <w:b/>
                              <w:color w:val="FF0000"/>
                            </w:rPr>
                            <w:t xml:space="preserve"> avril 2019 au 26 avril  2019</w:t>
                          </w:r>
                        </w:p>
                      </w:txbxContent>
                    </v:textbox>
                  </v:shape>
                </w:pict>
              </mc:Fallback>
            </mc:AlternateContent>
          </w:r>
          <w:r w:rsidR="00B50190" w:rsidRPr="004308F8">
            <w:rPr>
              <w:rFonts w:ascii="Garamond" w:hAnsi="Garamond" w:cstheme="minorHAnsi"/>
            </w:rPr>
            <w:t xml:space="preserve">Pour les actions dans les Yvelines : sur le portail des subventions </w:t>
          </w:r>
        </w:p>
        <w:p w14:paraId="420C73F7" w14:textId="77777777" w:rsidR="004308F8" w:rsidRDefault="00B50190" w:rsidP="004308F8">
          <w:pPr>
            <w:pStyle w:val="Paragraphedeliste"/>
            <w:numPr>
              <w:ilvl w:val="0"/>
              <w:numId w:val="8"/>
            </w:numPr>
            <w:spacing w:after="0"/>
            <w:ind w:right="3969"/>
            <w:rPr>
              <w:rFonts w:ascii="Garamond" w:hAnsi="Garamond" w:cstheme="minorHAnsi"/>
            </w:rPr>
          </w:pPr>
          <w:r w:rsidRPr="004308F8">
            <w:rPr>
              <w:rFonts w:ascii="Garamond" w:hAnsi="Garamond" w:cstheme="minorHAnsi"/>
            </w:rPr>
            <w:t xml:space="preserve">Pour les actions dans les Hauts-de-Seine : par </w:t>
          </w:r>
          <w:r w:rsidR="004308F8">
            <w:rPr>
              <w:rFonts w:ascii="Garamond" w:hAnsi="Garamond" w:cstheme="minorHAnsi"/>
            </w:rPr>
            <w:t xml:space="preserve"> </w:t>
          </w:r>
          <w:r w:rsidRPr="004308F8">
            <w:rPr>
              <w:rFonts w:ascii="Garamond" w:hAnsi="Garamond" w:cstheme="minorHAnsi"/>
            </w:rPr>
            <w:t xml:space="preserve">e-mail à l’adresse suivante : </w:t>
          </w:r>
        </w:p>
        <w:p w14:paraId="2E4765CE" w14:textId="72C991E9" w:rsidR="00B50190" w:rsidRPr="004308F8" w:rsidRDefault="00E60106" w:rsidP="004308F8">
          <w:pPr>
            <w:pStyle w:val="Paragraphedeliste"/>
            <w:spacing w:after="0"/>
            <w:ind w:right="3969"/>
            <w:rPr>
              <w:rFonts w:ascii="Garamond" w:hAnsi="Garamond" w:cstheme="minorHAnsi"/>
            </w:rPr>
          </w:pPr>
          <w:hyperlink r:id="rId10" w:history="1">
            <w:r w:rsidR="004308F8" w:rsidRPr="004308F8">
              <w:rPr>
                <w:rStyle w:val="Lienhypertexte"/>
                <w:rFonts w:ascii="Garamond" w:hAnsi="Garamond" w:cs="Calibri"/>
              </w:rPr>
              <w:t>conference-des-financeurs@hauts-de-seine.fr</w:t>
            </w:r>
          </w:hyperlink>
          <w:r w:rsidR="004308F8" w:rsidRPr="004308F8">
            <w:rPr>
              <w:rFonts w:ascii="Garamond" w:hAnsi="Garamond" w:cs="Calibri"/>
              <w:color w:val="0000FF"/>
            </w:rPr>
            <w:t xml:space="preserve"> </w:t>
          </w:r>
        </w:p>
        <w:p w14:paraId="272D5C7E" w14:textId="77777777" w:rsidR="006B6B51" w:rsidRDefault="006B6B51" w:rsidP="00F3285B">
          <w:pPr>
            <w:spacing w:after="0"/>
            <w:rPr>
              <w:rFonts w:ascii="Garamond" w:hAnsi="Garamond" w:cstheme="minorHAnsi"/>
              <w:highlight w:val="yellow"/>
            </w:rPr>
          </w:pPr>
        </w:p>
        <w:p w14:paraId="12420FB7" w14:textId="77777777" w:rsidR="006B6B51" w:rsidRDefault="006B6B51" w:rsidP="00F3285B">
          <w:pPr>
            <w:spacing w:after="0"/>
            <w:rPr>
              <w:rFonts w:ascii="Garamond" w:hAnsi="Garamond" w:cstheme="minorHAnsi"/>
              <w:highlight w:val="yellow"/>
            </w:rPr>
          </w:pPr>
        </w:p>
        <w:p w14:paraId="7290C7FC" w14:textId="1AA529F0" w:rsidR="00636816" w:rsidRPr="006B6B51" w:rsidRDefault="00E60106" w:rsidP="00F3285B">
          <w:pPr>
            <w:spacing w:after="0"/>
            <w:rPr>
              <w:rFonts w:ascii="Garamond" w:eastAsiaTheme="minorEastAsia" w:hAnsi="Garamond" w:cstheme="minorHAnsi"/>
              <w:color w:val="5B9BD5" w:themeColor="accent1"/>
              <w:lang w:eastAsia="fr-FR"/>
            </w:rPr>
          </w:pPr>
        </w:p>
      </w:sdtContent>
    </w:sdt>
    <w:sdt>
      <w:sdtPr>
        <w:rPr>
          <w:rFonts w:ascii="Garamond" w:eastAsiaTheme="minorHAnsi" w:hAnsi="Garamond" w:cstheme="minorHAnsi"/>
          <w:color w:val="auto"/>
          <w:sz w:val="22"/>
          <w:szCs w:val="22"/>
          <w:lang w:eastAsia="en-US"/>
        </w:rPr>
        <w:id w:val="-2036878992"/>
        <w:docPartObj>
          <w:docPartGallery w:val="Table of Contents"/>
          <w:docPartUnique/>
        </w:docPartObj>
      </w:sdtPr>
      <w:sdtEndPr>
        <w:rPr>
          <w:b/>
          <w:bCs/>
        </w:rPr>
      </w:sdtEndPr>
      <w:sdtContent>
        <w:p w14:paraId="3754FF64" w14:textId="2606009B" w:rsidR="00421173" w:rsidRPr="006B6B51" w:rsidRDefault="00421173">
          <w:pPr>
            <w:pStyle w:val="En-ttedetabledesmatires"/>
            <w:rPr>
              <w:rFonts w:ascii="Garamond" w:eastAsiaTheme="minorHAnsi" w:hAnsi="Garamond" w:cstheme="minorHAnsi"/>
              <w:color w:val="auto"/>
              <w:sz w:val="22"/>
              <w:szCs w:val="22"/>
              <w:lang w:eastAsia="en-US"/>
            </w:rPr>
          </w:pPr>
          <w:r w:rsidRPr="006B6B51">
            <w:rPr>
              <w:rFonts w:ascii="Garamond" w:hAnsi="Garamond" w:cstheme="minorHAnsi"/>
              <w:sz w:val="22"/>
              <w:szCs w:val="22"/>
            </w:rPr>
            <w:t>Table des matières</w:t>
          </w:r>
        </w:p>
        <w:p w14:paraId="1CB5AAA1" w14:textId="77777777" w:rsidR="00F3285B" w:rsidRPr="006B6B51" w:rsidRDefault="00421173">
          <w:pPr>
            <w:pStyle w:val="TM1"/>
            <w:tabs>
              <w:tab w:val="left" w:pos="440"/>
              <w:tab w:val="right" w:leader="dot" w:pos="9062"/>
            </w:tabs>
            <w:rPr>
              <w:rFonts w:ascii="Garamond" w:eastAsiaTheme="minorEastAsia" w:hAnsi="Garamond"/>
              <w:noProof/>
              <w:lang w:eastAsia="fr-FR"/>
            </w:rPr>
          </w:pPr>
          <w:r w:rsidRPr="006B6B51">
            <w:rPr>
              <w:rFonts w:ascii="Garamond" w:hAnsi="Garamond" w:cstheme="minorHAnsi"/>
              <w:b/>
              <w:bCs/>
            </w:rPr>
            <w:fldChar w:fldCharType="begin"/>
          </w:r>
          <w:r w:rsidRPr="006B6B51">
            <w:rPr>
              <w:rFonts w:ascii="Garamond" w:hAnsi="Garamond" w:cstheme="minorHAnsi"/>
              <w:b/>
              <w:bCs/>
            </w:rPr>
            <w:instrText xml:space="preserve"> TOC \o "1-3" \h \z \u </w:instrText>
          </w:r>
          <w:r w:rsidRPr="006B6B51">
            <w:rPr>
              <w:rFonts w:ascii="Garamond" w:hAnsi="Garamond" w:cstheme="minorHAnsi"/>
              <w:b/>
              <w:bCs/>
            </w:rPr>
            <w:fldChar w:fldCharType="separate"/>
          </w:r>
          <w:hyperlink w:anchor="_Toc2326480" w:history="1">
            <w:r w:rsidR="00F3285B" w:rsidRPr="006B6B51">
              <w:rPr>
                <w:rStyle w:val="Lienhypertexte"/>
                <w:rFonts w:ascii="Garamond" w:hAnsi="Garamond" w:cstheme="minorHAnsi"/>
                <w:noProof/>
              </w:rPr>
              <w:t>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Contexte</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_Toc2326480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2</w:t>
            </w:r>
            <w:r w:rsidR="00F3285B" w:rsidRPr="006B6B51">
              <w:rPr>
                <w:rFonts w:ascii="Garamond" w:hAnsi="Garamond"/>
                <w:noProof/>
                <w:webHidden/>
              </w:rPr>
              <w:fldChar w:fldCharType="end"/>
            </w:r>
          </w:hyperlink>
        </w:p>
        <w:p w14:paraId="005FB5D0"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1" w:history="1">
            <w:r w:rsidR="00F3285B" w:rsidRPr="006B6B51">
              <w:rPr>
                <w:rStyle w:val="Lienhypertexte"/>
                <w:rFonts w:ascii="Garamond" w:hAnsi="Garamond" w:cstheme="minorHAnsi"/>
                <w:noProof/>
              </w:rPr>
              <w:t>1.1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Un vieillissement de la population</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_Toc2326481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2</w:t>
            </w:r>
            <w:r w:rsidR="00F3285B" w:rsidRPr="006B6B51">
              <w:rPr>
                <w:rFonts w:ascii="Garamond" w:hAnsi="Garamond"/>
                <w:noProof/>
                <w:webHidden/>
              </w:rPr>
              <w:fldChar w:fldCharType="end"/>
            </w:r>
          </w:hyperlink>
        </w:p>
        <w:p w14:paraId="72CE9F70"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2" w:history="1">
            <w:r w:rsidR="00F3285B" w:rsidRPr="006B6B51">
              <w:rPr>
                <w:rStyle w:val="Lienhypertexte"/>
                <w:rFonts w:ascii="Garamond" w:hAnsi="Garamond" w:cstheme="minorHAnsi"/>
                <w:noProof/>
              </w:rPr>
              <w:t>1.2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Le schéma interdépartemental d’organisation sociale et médico-sociale Yvelines/Hauts-de-Seine 2018-2022</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_Toc2326482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2</w:t>
            </w:r>
            <w:r w:rsidR="00F3285B" w:rsidRPr="006B6B51">
              <w:rPr>
                <w:rFonts w:ascii="Garamond" w:hAnsi="Garamond"/>
                <w:noProof/>
                <w:webHidden/>
              </w:rPr>
              <w:fldChar w:fldCharType="end"/>
            </w:r>
          </w:hyperlink>
        </w:p>
        <w:p w14:paraId="7BC77256" w14:textId="77777777" w:rsidR="00F3285B" w:rsidRPr="006B6B51" w:rsidRDefault="00E60106">
          <w:pPr>
            <w:pStyle w:val="TM1"/>
            <w:tabs>
              <w:tab w:val="left" w:pos="440"/>
              <w:tab w:val="right" w:leader="dot" w:pos="9062"/>
            </w:tabs>
            <w:rPr>
              <w:rFonts w:ascii="Garamond" w:eastAsiaTheme="minorEastAsia" w:hAnsi="Garamond"/>
              <w:noProof/>
              <w:lang w:eastAsia="fr-FR"/>
            </w:rPr>
          </w:pPr>
          <w:hyperlink w:anchor="_Toc2326483" w:history="1">
            <w:r w:rsidR="00F3285B" w:rsidRPr="006B6B51">
              <w:rPr>
                <w:rStyle w:val="Lienhypertexte"/>
                <w:rFonts w:ascii="Garamond" w:hAnsi="Garamond" w:cstheme="minorHAnsi"/>
                <w:noProof/>
              </w:rPr>
              <w:t>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La conférence des financeurs pour la prévention de la perte d’autonomie</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_Toc2326483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3</w:t>
            </w:r>
            <w:r w:rsidR="00F3285B" w:rsidRPr="006B6B51">
              <w:rPr>
                <w:rFonts w:ascii="Garamond" w:hAnsi="Garamond"/>
                <w:noProof/>
                <w:webHidden/>
              </w:rPr>
              <w:fldChar w:fldCharType="end"/>
            </w:r>
          </w:hyperlink>
        </w:p>
        <w:p w14:paraId="2D7A55FD"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4" w:history="1">
            <w:r w:rsidR="00F3285B" w:rsidRPr="006B6B51">
              <w:rPr>
                <w:rStyle w:val="Lienhypertexte"/>
                <w:rFonts w:ascii="Garamond" w:hAnsi="Garamond" w:cstheme="minorHAnsi"/>
                <w:noProof/>
              </w:rPr>
              <w:t>2.1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La conférence des Yvelines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_Toc2326484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3</w:t>
            </w:r>
            <w:r w:rsidR="00F3285B" w:rsidRPr="006B6B51">
              <w:rPr>
                <w:rFonts w:ascii="Garamond" w:hAnsi="Garamond"/>
                <w:noProof/>
                <w:webHidden/>
              </w:rPr>
              <w:fldChar w:fldCharType="end"/>
            </w:r>
          </w:hyperlink>
        </w:p>
        <w:p w14:paraId="4941916B"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5" w:history="1">
            <w:r w:rsidR="00F3285B" w:rsidRPr="006B6B51">
              <w:rPr>
                <w:rStyle w:val="Lienhypertexte"/>
                <w:rFonts w:ascii="Garamond" w:hAnsi="Garamond" w:cstheme="minorHAnsi"/>
                <w:noProof/>
              </w:rPr>
              <w:t>2.2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La conférence des Hauts-de-Seine</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_Toc2326485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3</w:t>
            </w:r>
            <w:r w:rsidR="00F3285B" w:rsidRPr="006B6B51">
              <w:rPr>
                <w:rFonts w:ascii="Garamond" w:hAnsi="Garamond"/>
                <w:noProof/>
                <w:webHidden/>
              </w:rPr>
              <w:fldChar w:fldCharType="end"/>
            </w:r>
          </w:hyperlink>
        </w:p>
        <w:p w14:paraId="73748CC9" w14:textId="77777777" w:rsidR="00F3285B" w:rsidRPr="006B6B51" w:rsidRDefault="00E60106">
          <w:pPr>
            <w:pStyle w:val="TM1"/>
            <w:tabs>
              <w:tab w:val="left" w:pos="440"/>
              <w:tab w:val="right" w:leader="dot" w:pos="9062"/>
            </w:tabs>
            <w:rPr>
              <w:rFonts w:ascii="Garamond" w:eastAsiaTheme="minorEastAsia" w:hAnsi="Garamond"/>
              <w:noProof/>
              <w:lang w:eastAsia="fr-FR"/>
            </w:rPr>
          </w:pPr>
          <w:hyperlink w:anchor="_Toc2326486" w:history="1">
            <w:r w:rsidR="00F3285B" w:rsidRPr="006B6B51">
              <w:rPr>
                <w:rStyle w:val="Lienhypertexte"/>
                <w:rFonts w:ascii="Garamond" w:hAnsi="Garamond" w:cstheme="minorHAnsi"/>
                <w:noProof/>
              </w:rPr>
              <w:t>3.</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Modalités de l’appel à projet</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_Toc2326486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3</w:t>
            </w:r>
            <w:r w:rsidR="00F3285B" w:rsidRPr="006B6B51">
              <w:rPr>
                <w:rFonts w:ascii="Garamond" w:hAnsi="Garamond"/>
                <w:noProof/>
                <w:webHidden/>
              </w:rPr>
              <w:fldChar w:fldCharType="end"/>
            </w:r>
          </w:hyperlink>
        </w:p>
        <w:p w14:paraId="5949EFD5"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7" w:history="1">
            <w:r w:rsidR="00F3285B" w:rsidRPr="006B6B51">
              <w:rPr>
                <w:rStyle w:val="Lienhypertexte"/>
                <w:rFonts w:ascii="Garamond" w:hAnsi="Garamond" w:cstheme="minorHAnsi"/>
                <w:noProof/>
              </w:rPr>
              <w:t>3.1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Objet</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_Toc2326487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3</w:t>
            </w:r>
            <w:r w:rsidR="00F3285B" w:rsidRPr="006B6B51">
              <w:rPr>
                <w:rFonts w:ascii="Garamond" w:hAnsi="Garamond"/>
                <w:noProof/>
                <w:webHidden/>
              </w:rPr>
              <w:fldChar w:fldCharType="end"/>
            </w:r>
          </w:hyperlink>
        </w:p>
        <w:p w14:paraId="04829F1E"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8" w:history="1">
            <w:r w:rsidR="00F3285B" w:rsidRPr="006B6B51">
              <w:rPr>
                <w:rStyle w:val="Lienhypertexte"/>
                <w:rFonts w:ascii="Garamond" w:hAnsi="Garamond" w:cstheme="minorHAnsi"/>
                <w:noProof/>
              </w:rPr>
              <w:t>3.2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Thèmes prioritaires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_Toc2326488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4</w:t>
            </w:r>
            <w:r w:rsidR="00F3285B" w:rsidRPr="006B6B51">
              <w:rPr>
                <w:rFonts w:ascii="Garamond" w:hAnsi="Garamond"/>
                <w:noProof/>
                <w:webHidden/>
              </w:rPr>
              <w:fldChar w:fldCharType="end"/>
            </w:r>
          </w:hyperlink>
        </w:p>
        <w:p w14:paraId="221EE21F"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89" w:history="1">
            <w:r w:rsidR="00F3285B" w:rsidRPr="006B6B51">
              <w:rPr>
                <w:rStyle w:val="Lienhypertexte"/>
                <w:rFonts w:ascii="Garamond" w:hAnsi="Garamond" w:cstheme="minorHAnsi"/>
                <w:noProof/>
              </w:rPr>
              <w:t>3.3</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Publication</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_Toc2326489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4</w:t>
            </w:r>
            <w:r w:rsidR="00F3285B" w:rsidRPr="006B6B51">
              <w:rPr>
                <w:rFonts w:ascii="Garamond" w:hAnsi="Garamond"/>
                <w:noProof/>
                <w:webHidden/>
              </w:rPr>
              <w:fldChar w:fldCharType="end"/>
            </w:r>
          </w:hyperlink>
        </w:p>
        <w:p w14:paraId="15D576C9"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90" w:history="1">
            <w:r w:rsidR="00F3285B" w:rsidRPr="006B6B51">
              <w:rPr>
                <w:rStyle w:val="Lienhypertexte"/>
                <w:rFonts w:ascii="Garamond" w:hAnsi="Garamond" w:cstheme="minorHAnsi"/>
                <w:noProof/>
              </w:rPr>
              <w:t>3.4</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Dépôt des dossiers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_Toc2326490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4</w:t>
            </w:r>
            <w:r w:rsidR="00F3285B" w:rsidRPr="006B6B51">
              <w:rPr>
                <w:rFonts w:ascii="Garamond" w:hAnsi="Garamond"/>
                <w:noProof/>
                <w:webHidden/>
              </w:rPr>
              <w:fldChar w:fldCharType="end"/>
            </w:r>
          </w:hyperlink>
        </w:p>
        <w:p w14:paraId="393AC759"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1" w:history="1">
            <w:r w:rsidR="00F3285B" w:rsidRPr="006B6B51">
              <w:rPr>
                <w:rStyle w:val="Lienhypertexte"/>
                <w:rFonts w:ascii="Garamond" w:hAnsi="Garamond" w:cstheme="minorHAnsi"/>
                <w:noProof/>
              </w:rPr>
              <w:t>3.4.1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Candidats éligibles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_Toc2326491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5</w:t>
            </w:r>
            <w:r w:rsidR="00F3285B" w:rsidRPr="006B6B51">
              <w:rPr>
                <w:rFonts w:ascii="Garamond" w:hAnsi="Garamond"/>
                <w:noProof/>
                <w:webHidden/>
              </w:rPr>
              <w:fldChar w:fldCharType="end"/>
            </w:r>
          </w:hyperlink>
        </w:p>
        <w:p w14:paraId="1EFE825E"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2" w:history="1">
            <w:r w:rsidR="00F3285B" w:rsidRPr="006B6B51">
              <w:rPr>
                <w:rStyle w:val="Lienhypertexte"/>
                <w:rFonts w:ascii="Garamond" w:hAnsi="Garamond" w:cstheme="minorHAnsi"/>
                <w:noProof/>
              </w:rPr>
              <w:t>3.4.2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Critères d’éligibilité</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_Toc2326492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5</w:t>
            </w:r>
            <w:r w:rsidR="00F3285B" w:rsidRPr="006B6B51">
              <w:rPr>
                <w:rFonts w:ascii="Garamond" w:hAnsi="Garamond"/>
                <w:noProof/>
                <w:webHidden/>
              </w:rPr>
              <w:fldChar w:fldCharType="end"/>
            </w:r>
          </w:hyperlink>
        </w:p>
        <w:p w14:paraId="24DC0C3E"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93" w:history="1">
            <w:r w:rsidR="00F3285B" w:rsidRPr="006B6B51">
              <w:rPr>
                <w:rStyle w:val="Lienhypertexte"/>
                <w:rFonts w:ascii="Garamond" w:hAnsi="Garamond" w:cstheme="minorHAnsi"/>
                <w:noProof/>
              </w:rPr>
              <w:t>3.5</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Modalités de sélection</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_Toc2326493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5</w:t>
            </w:r>
            <w:r w:rsidR="00F3285B" w:rsidRPr="006B6B51">
              <w:rPr>
                <w:rFonts w:ascii="Garamond" w:hAnsi="Garamond"/>
                <w:noProof/>
                <w:webHidden/>
              </w:rPr>
              <w:fldChar w:fldCharType="end"/>
            </w:r>
          </w:hyperlink>
        </w:p>
        <w:p w14:paraId="28CE73ED"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4" w:history="1">
            <w:r w:rsidR="00F3285B" w:rsidRPr="006B6B51">
              <w:rPr>
                <w:rStyle w:val="Lienhypertexte"/>
                <w:rFonts w:ascii="Garamond" w:hAnsi="Garamond" w:cstheme="minorHAnsi"/>
                <w:noProof/>
              </w:rPr>
              <w:t>3.5.1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Critères de sélection</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_Toc2326494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5</w:t>
            </w:r>
            <w:r w:rsidR="00F3285B" w:rsidRPr="006B6B51">
              <w:rPr>
                <w:rFonts w:ascii="Garamond" w:hAnsi="Garamond"/>
                <w:noProof/>
                <w:webHidden/>
              </w:rPr>
              <w:fldChar w:fldCharType="end"/>
            </w:r>
          </w:hyperlink>
        </w:p>
        <w:p w14:paraId="134216EE"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5" w:history="1">
            <w:r w:rsidR="00F3285B" w:rsidRPr="006B6B51">
              <w:rPr>
                <w:rStyle w:val="Lienhypertexte"/>
                <w:rFonts w:ascii="Garamond" w:hAnsi="Garamond" w:cstheme="minorHAnsi"/>
                <w:noProof/>
              </w:rPr>
              <w:t>3.5.2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Audition des porteurs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_Toc2326495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6</w:t>
            </w:r>
            <w:r w:rsidR="00F3285B" w:rsidRPr="006B6B51">
              <w:rPr>
                <w:rFonts w:ascii="Garamond" w:hAnsi="Garamond"/>
                <w:noProof/>
                <w:webHidden/>
              </w:rPr>
              <w:fldChar w:fldCharType="end"/>
            </w:r>
          </w:hyperlink>
        </w:p>
        <w:p w14:paraId="6976550B"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6" w:history="1">
            <w:r w:rsidR="00F3285B" w:rsidRPr="006B6B51">
              <w:rPr>
                <w:rStyle w:val="Lienhypertexte"/>
                <w:rFonts w:ascii="Garamond" w:hAnsi="Garamond" w:cstheme="minorHAnsi"/>
                <w:noProof/>
              </w:rPr>
              <w:t>3.5.3</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Comité de sélection</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_Toc2326496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6</w:t>
            </w:r>
            <w:r w:rsidR="00F3285B" w:rsidRPr="006B6B51">
              <w:rPr>
                <w:rFonts w:ascii="Garamond" w:hAnsi="Garamond"/>
                <w:noProof/>
                <w:webHidden/>
              </w:rPr>
              <w:fldChar w:fldCharType="end"/>
            </w:r>
          </w:hyperlink>
        </w:p>
        <w:p w14:paraId="7BA963C1"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497" w:history="1">
            <w:r w:rsidR="00F3285B" w:rsidRPr="006B6B51">
              <w:rPr>
                <w:rStyle w:val="Lienhypertexte"/>
                <w:rFonts w:ascii="Garamond" w:hAnsi="Garamond" w:cstheme="minorHAnsi"/>
                <w:noProof/>
              </w:rPr>
              <w:t>3.6</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Accompagnement des porteurs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_Toc2326497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6</w:t>
            </w:r>
            <w:r w:rsidR="00F3285B" w:rsidRPr="006B6B51">
              <w:rPr>
                <w:rFonts w:ascii="Garamond" w:hAnsi="Garamond"/>
                <w:noProof/>
                <w:webHidden/>
              </w:rPr>
              <w:fldChar w:fldCharType="end"/>
            </w:r>
          </w:hyperlink>
        </w:p>
        <w:p w14:paraId="2C64DE5F"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8" w:history="1">
            <w:r w:rsidR="00F3285B" w:rsidRPr="006B6B51">
              <w:rPr>
                <w:rStyle w:val="Lienhypertexte"/>
                <w:rFonts w:ascii="Garamond" w:hAnsi="Garamond" w:cstheme="minorHAnsi"/>
                <w:noProof/>
              </w:rPr>
              <w:t>3.6.1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Objectifs de l’accompagnement</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_Toc2326498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6</w:t>
            </w:r>
            <w:r w:rsidR="00F3285B" w:rsidRPr="006B6B51">
              <w:rPr>
                <w:rFonts w:ascii="Garamond" w:hAnsi="Garamond"/>
                <w:noProof/>
                <w:webHidden/>
              </w:rPr>
              <w:fldChar w:fldCharType="end"/>
            </w:r>
          </w:hyperlink>
        </w:p>
        <w:p w14:paraId="34B3B4B6"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499" w:history="1">
            <w:r w:rsidR="00F3285B" w:rsidRPr="006B6B51">
              <w:rPr>
                <w:rStyle w:val="Lienhypertexte"/>
                <w:rFonts w:ascii="Garamond" w:hAnsi="Garamond" w:cstheme="minorHAnsi"/>
                <w:noProof/>
              </w:rPr>
              <w:t>3.6.2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Modalité d’accompagnement</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_Toc2326499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7</w:t>
            </w:r>
            <w:r w:rsidR="00F3285B" w:rsidRPr="006B6B51">
              <w:rPr>
                <w:rFonts w:ascii="Garamond" w:hAnsi="Garamond"/>
                <w:noProof/>
                <w:webHidden/>
              </w:rPr>
              <w:fldChar w:fldCharType="end"/>
            </w:r>
          </w:hyperlink>
        </w:p>
        <w:p w14:paraId="6D28678E" w14:textId="77777777" w:rsidR="00F3285B" w:rsidRPr="006B6B51" w:rsidRDefault="00E60106">
          <w:pPr>
            <w:pStyle w:val="TM2"/>
            <w:tabs>
              <w:tab w:val="left" w:pos="880"/>
              <w:tab w:val="right" w:leader="dot" w:pos="9062"/>
            </w:tabs>
            <w:rPr>
              <w:rFonts w:ascii="Garamond" w:eastAsiaTheme="minorEastAsia" w:hAnsi="Garamond"/>
              <w:noProof/>
              <w:lang w:eastAsia="fr-FR"/>
            </w:rPr>
          </w:pPr>
          <w:hyperlink w:anchor="_Toc2326500" w:history="1">
            <w:r w:rsidR="00F3285B" w:rsidRPr="006B6B51">
              <w:rPr>
                <w:rStyle w:val="Lienhypertexte"/>
                <w:rFonts w:ascii="Garamond" w:hAnsi="Garamond" w:cstheme="minorHAnsi"/>
                <w:noProof/>
              </w:rPr>
              <w:t>3.7</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Financement des projets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_Toc2326500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7</w:t>
            </w:r>
            <w:r w:rsidR="00F3285B" w:rsidRPr="006B6B51">
              <w:rPr>
                <w:rFonts w:ascii="Garamond" w:hAnsi="Garamond"/>
                <w:noProof/>
                <w:webHidden/>
              </w:rPr>
              <w:fldChar w:fldCharType="end"/>
            </w:r>
          </w:hyperlink>
        </w:p>
        <w:p w14:paraId="4219B0B1"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501" w:history="1">
            <w:r w:rsidR="00F3285B" w:rsidRPr="006B6B51">
              <w:rPr>
                <w:rStyle w:val="Lienhypertexte"/>
                <w:rFonts w:ascii="Garamond" w:hAnsi="Garamond" w:cstheme="minorHAnsi"/>
                <w:noProof/>
              </w:rPr>
              <w:t>3.7.1</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Le financement de la conférence des financeurs</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_Toc2326501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7</w:t>
            </w:r>
            <w:r w:rsidR="00F3285B" w:rsidRPr="006B6B51">
              <w:rPr>
                <w:rFonts w:ascii="Garamond" w:hAnsi="Garamond"/>
                <w:noProof/>
                <w:webHidden/>
              </w:rPr>
              <w:fldChar w:fldCharType="end"/>
            </w:r>
          </w:hyperlink>
        </w:p>
        <w:p w14:paraId="6E9C44C0" w14:textId="77777777" w:rsidR="00F3285B" w:rsidRPr="006B6B51" w:rsidRDefault="00E60106">
          <w:pPr>
            <w:pStyle w:val="TM2"/>
            <w:tabs>
              <w:tab w:val="left" w:pos="1100"/>
              <w:tab w:val="right" w:leader="dot" w:pos="9062"/>
            </w:tabs>
            <w:rPr>
              <w:rFonts w:ascii="Garamond" w:eastAsiaTheme="minorEastAsia" w:hAnsi="Garamond"/>
              <w:noProof/>
              <w:lang w:eastAsia="fr-FR"/>
            </w:rPr>
          </w:pPr>
          <w:hyperlink w:anchor="_Toc2326502" w:history="1">
            <w:r w:rsidR="00F3285B" w:rsidRPr="006B6B51">
              <w:rPr>
                <w:rStyle w:val="Lienhypertexte"/>
                <w:rFonts w:ascii="Garamond" w:hAnsi="Garamond" w:cstheme="minorHAnsi"/>
                <w:noProof/>
              </w:rPr>
              <w:t>3.7.2</w:t>
            </w:r>
            <w:r w:rsidR="00F3285B" w:rsidRPr="006B6B51">
              <w:rPr>
                <w:rFonts w:ascii="Garamond" w:eastAsiaTheme="minorEastAsia" w:hAnsi="Garamond"/>
                <w:noProof/>
                <w:lang w:eastAsia="fr-FR"/>
              </w:rPr>
              <w:tab/>
            </w:r>
            <w:r w:rsidR="00F3285B" w:rsidRPr="006B6B51">
              <w:rPr>
                <w:rStyle w:val="Lienhypertexte"/>
                <w:rFonts w:ascii="Garamond" w:hAnsi="Garamond" w:cstheme="minorHAnsi"/>
                <w:noProof/>
              </w:rPr>
              <w:t>Pitch Day (octobre 2019)</w:t>
            </w:r>
            <w:r w:rsidR="00F3285B" w:rsidRPr="006B6B51">
              <w:rPr>
                <w:rFonts w:ascii="Garamond" w:hAnsi="Garamond"/>
                <w:noProof/>
                <w:webHidden/>
              </w:rPr>
              <w:tab/>
            </w:r>
            <w:r w:rsidR="00F3285B" w:rsidRPr="006B6B51">
              <w:rPr>
                <w:rFonts w:ascii="Garamond" w:hAnsi="Garamond"/>
                <w:noProof/>
                <w:webHidden/>
              </w:rPr>
              <w:fldChar w:fldCharType="begin"/>
            </w:r>
            <w:r w:rsidR="00F3285B" w:rsidRPr="006B6B51">
              <w:rPr>
                <w:rFonts w:ascii="Garamond" w:hAnsi="Garamond"/>
                <w:noProof/>
                <w:webHidden/>
              </w:rPr>
              <w:instrText xml:space="preserve"> PAGEREF _Toc2326502 \h </w:instrText>
            </w:r>
            <w:r w:rsidR="00F3285B" w:rsidRPr="006B6B51">
              <w:rPr>
                <w:rFonts w:ascii="Garamond" w:hAnsi="Garamond"/>
                <w:noProof/>
                <w:webHidden/>
              </w:rPr>
            </w:r>
            <w:r w:rsidR="00F3285B" w:rsidRPr="006B6B51">
              <w:rPr>
                <w:rFonts w:ascii="Garamond" w:hAnsi="Garamond"/>
                <w:noProof/>
                <w:webHidden/>
              </w:rPr>
              <w:fldChar w:fldCharType="separate"/>
            </w:r>
            <w:r w:rsidR="00F3285B" w:rsidRPr="006B6B51">
              <w:rPr>
                <w:rFonts w:ascii="Garamond" w:hAnsi="Garamond"/>
                <w:noProof/>
                <w:webHidden/>
              </w:rPr>
              <w:t>7</w:t>
            </w:r>
            <w:r w:rsidR="00F3285B" w:rsidRPr="006B6B51">
              <w:rPr>
                <w:rFonts w:ascii="Garamond" w:hAnsi="Garamond"/>
                <w:noProof/>
                <w:webHidden/>
              </w:rPr>
              <w:fldChar w:fldCharType="end"/>
            </w:r>
          </w:hyperlink>
        </w:p>
        <w:p w14:paraId="118CDC0D" w14:textId="77777777" w:rsidR="00421173" w:rsidRPr="006B6B51" w:rsidRDefault="00421173">
          <w:pPr>
            <w:rPr>
              <w:rFonts w:ascii="Garamond" w:hAnsi="Garamond" w:cstheme="minorHAnsi"/>
            </w:rPr>
          </w:pPr>
          <w:r w:rsidRPr="006B6B51">
            <w:rPr>
              <w:rFonts w:ascii="Garamond" w:hAnsi="Garamond" w:cstheme="minorHAnsi"/>
              <w:b/>
              <w:bCs/>
            </w:rPr>
            <w:fldChar w:fldCharType="end"/>
          </w:r>
        </w:p>
      </w:sdtContent>
    </w:sdt>
    <w:p w14:paraId="63E29EEF" w14:textId="77777777" w:rsidR="00D43B92" w:rsidRPr="006B6B51" w:rsidRDefault="00421173" w:rsidP="00470131">
      <w:pPr>
        <w:jc w:val="left"/>
        <w:rPr>
          <w:rFonts w:ascii="Garamond" w:hAnsi="Garamond" w:cstheme="minorHAnsi"/>
        </w:rPr>
      </w:pPr>
      <w:r w:rsidRPr="006B6B51">
        <w:rPr>
          <w:rFonts w:ascii="Garamond" w:hAnsi="Garamond" w:cstheme="minorHAnsi"/>
        </w:rPr>
        <w:br w:type="page"/>
      </w:r>
    </w:p>
    <w:p w14:paraId="07F82A38" w14:textId="77777777" w:rsidR="00F05426" w:rsidRPr="006B6B51" w:rsidRDefault="00D43B92" w:rsidP="002130EF">
      <w:pPr>
        <w:pStyle w:val="Titre1"/>
        <w:rPr>
          <w:rFonts w:ascii="Garamond" w:hAnsi="Garamond" w:cstheme="minorHAnsi"/>
          <w:sz w:val="22"/>
          <w:szCs w:val="22"/>
        </w:rPr>
      </w:pPr>
      <w:bookmarkStart w:id="1" w:name="_Toc2326480"/>
      <w:r w:rsidRPr="006B6B51">
        <w:rPr>
          <w:rFonts w:ascii="Garamond" w:hAnsi="Garamond" w:cstheme="minorHAnsi"/>
          <w:sz w:val="22"/>
          <w:szCs w:val="22"/>
        </w:rPr>
        <w:lastRenderedPageBreak/>
        <w:t>Contexte</w:t>
      </w:r>
      <w:bookmarkEnd w:id="1"/>
    </w:p>
    <w:p w14:paraId="56784F54" w14:textId="77777777" w:rsidR="004923D9" w:rsidRPr="006B6B51" w:rsidRDefault="004923D9" w:rsidP="004923D9">
      <w:pPr>
        <w:rPr>
          <w:rFonts w:ascii="Garamond" w:hAnsi="Garamond" w:cstheme="minorHAnsi"/>
        </w:rPr>
      </w:pPr>
    </w:p>
    <w:p w14:paraId="60883111" w14:textId="77777777" w:rsidR="002E13D8" w:rsidRPr="006B6B51" w:rsidRDefault="008520D8" w:rsidP="008520D8">
      <w:pPr>
        <w:pStyle w:val="Titre2"/>
        <w:rPr>
          <w:rFonts w:ascii="Garamond" w:hAnsi="Garamond" w:cstheme="minorHAnsi"/>
          <w:sz w:val="22"/>
          <w:szCs w:val="22"/>
        </w:rPr>
      </w:pPr>
      <w:bookmarkStart w:id="2" w:name="_Toc2326481"/>
      <w:r w:rsidRPr="006B6B51">
        <w:rPr>
          <w:rFonts w:ascii="Garamond" w:hAnsi="Garamond" w:cstheme="minorHAnsi"/>
          <w:sz w:val="22"/>
          <w:szCs w:val="22"/>
        </w:rPr>
        <w:t>Un vieillissement de la population</w:t>
      </w:r>
      <w:bookmarkEnd w:id="2"/>
    </w:p>
    <w:p w14:paraId="63CF3410" w14:textId="77777777" w:rsidR="002130EF" w:rsidRPr="006B6B51" w:rsidRDefault="002130EF" w:rsidP="002130EF">
      <w:pPr>
        <w:rPr>
          <w:rFonts w:ascii="Garamond" w:hAnsi="Garamond" w:cstheme="minorHAnsi"/>
        </w:rPr>
      </w:pPr>
    </w:p>
    <w:p w14:paraId="1F0D3051" w14:textId="77777777" w:rsidR="006B6DCE" w:rsidRPr="006B6B51" w:rsidRDefault="00F05426" w:rsidP="008520D8">
      <w:pPr>
        <w:rPr>
          <w:rFonts w:ascii="Garamond" w:hAnsi="Garamond" w:cstheme="minorHAnsi"/>
        </w:rPr>
      </w:pPr>
      <w:r w:rsidRPr="006B6B51">
        <w:rPr>
          <w:rFonts w:ascii="Garamond" w:hAnsi="Garamond" w:cstheme="minorHAnsi"/>
        </w:rPr>
        <w:t>L’augmentation continue de la proportion de personnes âgées confère aux séniors une place particulière au sein de la société. En effet, l’espérance de vie augmente et le nombre de personnes âgées va croissant.</w:t>
      </w:r>
    </w:p>
    <w:p w14:paraId="5803597C" w14:textId="77777777" w:rsidR="006B6DCE" w:rsidRPr="006B6B51" w:rsidRDefault="006B6DCE" w:rsidP="008520D8">
      <w:pPr>
        <w:rPr>
          <w:rFonts w:ascii="Garamond" w:hAnsi="Garamond" w:cstheme="minorHAnsi"/>
        </w:rPr>
      </w:pPr>
      <w:r w:rsidRPr="006B6B51">
        <w:rPr>
          <w:rFonts w:ascii="Garamond" w:hAnsi="Garamond" w:cstheme="minorHAnsi"/>
        </w:rPr>
        <w:t>La population interdépartementale pourrait atteindre 3,22 millions d’habitants en 2030, avec un vieillissement prononcé ; + 36% de la popula</w:t>
      </w:r>
      <w:r w:rsidR="002E13D8" w:rsidRPr="006B6B51">
        <w:rPr>
          <w:rFonts w:ascii="Garamond" w:hAnsi="Garamond" w:cstheme="minorHAnsi"/>
        </w:rPr>
        <w:t>tion entre 65 ans et 84 ans, pour atteindre environ 800 000 personnes et +</w:t>
      </w:r>
      <w:r w:rsidRPr="006B6B51">
        <w:rPr>
          <w:rFonts w:ascii="Garamond" w:hAnsi="Garamond" w:cstheme="minorHAnsi"/>
        </w:rPr>
        <w:t xml:space="preserve"> 46 % des 85 ans et plus pour atteindre </w:t>
      </w:r>
      <w:r w:rsidR="002E13D8" w:rsidRPr="006B6B51">
        <w:rPr>
          <w:rFonts w:ascii="Garamond" w:hAnsi="Garamond" w:cstheme="minorHAnsi"/>
        </w:rPr>
        <w:t xml:space="preserve">100 000 personnes. </w:t>
      </w:r>
    </w:p>
    <w:p w14:paraId="138CBD85" w14:textId="77777777" w:rsidR="002E13D8" w:rsidRPr="006B6B51" w:rsidRDefault="008942FA" w:rsidP="008520D8">
      <w:pPr>
        <w:rPr>
          <w:rFonts w:ascii="Garamond" w:hAnsi="Garamond" w:cstheme="minorHAnsi"/>
        </w:rPr>
      </w:pPr>
      <w:r w:rsidRPr="006B6B51">
        <w:rPr>
          <w:rFonts w:ascii="Garamond" w:hAnsi="Garamond" w:cstheme="minorHAnsi"/>
        </w:rPr>
        <w:t xml:space="preserve">Cette </w:t>
      </w:r>
      <w:r w:rsidR="002E13D8" w:rsidRPr="006B6B51">
        <w:rPr>
          <w:rFonts w:ascii="Garamond" w:hAnsi="Garamond" w:cstheme="minorHAnsi"/>
        </w:rPr>
        <w:t xml:space="preserve">évolution démographique </w:t>
      </w:r>
      <w:r w:rsidRPr="006B6B51">
        <w:rPr>
          <w:rFonts w:ascii="Garamond" w:hAnsi="Garamond" w:cstheme="minorHAnsi"/>
        </w:rPr>
        <w:t xml:space="preserve">est </w:t>
      </w:r>
      <w:r w:rsidR="002E13D8" w:rsidRPr="006B6B51">
        <w:rPr>
          <w:rFonts w:ascii="Garamond" w:hAnsi="Garamond" w:cstheme="minorHAnsi"/>
        </w:rPr>
        <w:t xml:space="preserve">marquée par des disparités </w:t>
      </w:r>
      <w:r w:rsidR="008520D8" w:rsidRPr="006B6B51">
        <w:rPr>
          <w:rFonts w:ascii="Garamond" w:hAnsi="Garamond" w:cstheme="minorHAnsi"/>
        </w:rPr>
        <w:t>infra-</w:t>
      </w:r>
      <w:r w:rsidR="002E13D8" w:rsidRPr="006B6B51">
        <w:rPr>
          <w:rFonts w:ascii="Garamond" w:hAnsi="Garamond" w:cstheme="minorHAnsi"/>
        </w:rPr>
        <w:t>territoria</w:t>
      </w:r>
      <w:r w:rsidR="00F22730" w:rsidRPr="006B6B51">
        <w:rPr>
          <w:rFonts w:ascii="Garamond" w:hAnsi="Garamond" w:cstheme="minorHAnsi"/>
        </w:rPr>
        <w:t>les et des données sociologiques</w:t>
      </w:r>
      <w:r w:rsidR="002E13D8" w:rsidRPr="006B6B51">
        <w:rPr>
          <w:rFonts w:ascii="Garamond" w:hAnsi="Garamond" w:cstheme="minorHAnsi"/>
        </w:rPr>
        <w:t xml:space="preserve">, </w:t>
      </w:r>
      <w:r w:rsidR="00F22730" w:rsidRPr="006B6B51">
        <w:rPr>
          <w:rFonts w:ascii="Garamond" w:hAnsi="Garamond" w:cstheme="minorHAnsi"/>
        </w:rPr>
        <w:t>sanitaires et géographiques</w:t>
      </w:r>
      <w:r w:rsidR="002E13D8" w:rsidRPr="006B6B51">
        <w:rPr>
          <w:rFonts w:ascii="Garamond" w:hAnsi="Garamond" w:cstheme="minorHAnsi"/>
        </w:rPr>
        <w:t xml:space="preserve"> dont il faut tenir </w:t>
      </w:r>
      <w:proofErr w:type="gramStart"/>
      <w:r w:rsidR="00F22730" w:rsidRPr="006B6B51">
        <w:rPr>
          <w:rFonts w:ascii="Garamond" w:hAnsi="Garamond" w:cstheme="minorHAnsi"/>
        </w:rPr>
        <w:t>compte</w:t>
      </w:r>
      <w:proofErr w:type="gramEnd"/>
      <w:r w:rsidR="002130EF" w:rsidRPr="006B6B51">
        <w:rPr>
          <w:rStyle w:val="Appelnotedebasdep"/>
          <w:rFonts w:ascii="Garamond" w:hAnsi="Garamond" w:cstheme="minorHAnsi"/>
        </w:rPr>
        <w:footnoteReference w:id="1"/>
      </w:r>
      <w:r w:rsidR="002130EF" w:rsidRPr="006B6B51">
        <w:rPr>
          <w:rFonts w:ascii="Garamond" w:hAnsi="Garamond" w:cstheme="minorHAnsi"/>
        </w:rPr>
        <w:t xml:space="preserve">. </w:t>
      </w:r>
    </w:p>
    <w:p w14:paraId="194F5822" w14:textId="77777777" w:rsidR="004923D9" w:rsidRPr="006B6B51" w:rsidRDefault="004923D9" w:rsidP="002130EF">
      <w:pPr>
        <w:pStyle w:val="Titre2"/>
        <w:numPr>
          <w:ilvl w:val="0"/>
          <w:numId w:val="0"/>
        </w:numPr>
        <w:ind w:left="720"/>
        <w:rPr>
          <w:rFonts w:ascii="Garamond" w:hAnsi="Garamond" w:cstheme="minorHAnsi"/>
          <w:sz w:val="22"/>
          <w:szCs w:val="22"/>
        </w:rPr>
      </w:pPr>
    </w:p>
    <w:p w14:paraId="13F4C867" w14:textId="77777777" w:rsidR="002E13D8" w:rsidRPr="006B6B51" w:rsidRDefault="004923D9" w:rsidP="002130EF">
      <w:pPr>
        <w:pStyle w:val="Titre2"/>
        <w:numPr>
          <w:ilvl w:val="1"/>
          <w:numId w:val="1"/>
        </w:numPr>
        <w:rPr>
          <w:rFonts w:ascii="Garamond" w:hAnsi="Garamond" w:cstheme="minorHAnsi"/>
          <w:sz w:val="22"/>
          <w:szCs w:val="22"/>
        </w:rPr>
      </w:pPr>
      <w:bookmarkStart w:id="3" w:name="_Toc2326482"/>
      <w:r w:rsidRPr="006B6B51">
        <w:rPr>
          <w:rFonts w:ascii="Garamond" w:hAnsi="Garamond" w:cstheme="minorHAnsi"/>
          <w:sz w:val="22"/>
          <w:szCs w:val="22"/>
        </w:rPr>
        <w:t>Le schéma interdépartemental d’organisation sociale et médico-sociale Yvelines/Hauts-de-Seine 2018-2022</w:t>
      </w:r>
      <w:bookmarkEnd w:id="3"/>
    </w:p>
    <w:p w14:paraId="30B8C5CD" w14:textId="77777777" w:rsidR="002130EF" w:rsidRPr="006B6B51" w:rsidRDefault="002130EF" w:rsidP="002130EF">
      <w:pPr>
        <w:rPr>
          <w:rFonts w:ascii="Garamond" w:hAnsi="Garamond" w:cstheme="minorHAnsi"/>
        </w:rPr>
      </w:pPr>
    </w:p>
    <w:p w14:paraId="3B890DA8" w14:textId="77777777" w:rsidR="008F4C81" w:rsidRPr="006B6B51" w:rsidRDefault="002130EF" w:rsidP="00400256">
      <w:pPr>
        <w:rPr>
          <w:rFonts w:ascii="Garamond" w:hAnsi="Garamond" w:cstheme="minorHAnsi"/>
        </w:rPr>
      </w:pPr>
      <w:r w:rsidRPr="006B6B51">
        <w:rPr>
          <w:rFonts w:ascii="Garamond" w:hAnsi="Garamond" w:cstheme="minorHAnsi"/>
        </w:rPr>
        <w:t>La volonté de rapprochement des Départements des Yvelines et des Hauts-de-Seine a justifié une démarche commune d’élaboration du schéma d’organisation sociale et médico-sociale. Ce schéma</w:t>
      </w:r>
      <w:r w:rsidR="00A316E5" w:rsidRPr="006B6B51">
        <w:rPr>
          <w:rFonts w:ascii="Garamond" w:hAnsi="Garamond" w:cstheme="minorHAnsi"/>
        </w:rPr>
        <w:t>, adopté le 28 septembre 2018,</w:t>
      </w:r>
      <w:r w:rsidRPr="006B6B51">
        <w:rPr>
          <w:rFonts w:ascii="Garamond" w:hAnsi="Garamond" w:cstheme="minorHAnsi"/>
        </w:rPr>
        <w:t xml:space="preserve"> ambitionne de mieux répondre aux besoins des Alto-séquanais et des Yvelinois dans un contexte de transformations fortes de notre société. Il inscrit donc ses propositions </w:t>
      </w:r>
      <w:r w:rsidR="00400256" w:rsidRPr="006B6B51">
        <w:rPr>
          <w:rFonts w:ascii="Garamond" w:hAnsi="Garamond" w:cstheme="minorHAnsi"/>
        </w:rPr>
        <w:t>d’orientation dans les enjeux suivants :</w:t>
      </w:r>
    </w:p>
    <w:p w14:paraId="13DDCB1D" w14:textId="65A1AEB4" w:rsidR="008F4C81" w:rsidRPr="006B6B51" w:rsidRDefault="00400256" w:rsidP="00995253">
      <w:pPr>
        <w:pStyle w:val="Paragraphedeliste"/>
        <w:numPr>
          <w:ilvl w:val="0"/>
          <w:numId w:val="3"/>
        </w:numPr>
        <w:rPr>
          <w:rFonts w:ascii="Garamond" w:hAnsi="Garamond" w:cstheme="minorHAnsi"/>
        </w:rPr>
      </w:pPr>
      <w:r w:rsidRPr="006B6B51">
        <w:rPr>
          <w:rFonts w:ascii="Garamond" w:hAnsi="Garamond" w:cstheme="minorHAnsi"/>
        </w:rPr>
        <w:t>Prendre en compte</w:t>
      </w:r>
      <w:r w:rsidR="008F4C81" w:rsidRPr="006B6B51">
        <w:rPr>
          <w:rFonts w:ascii="Garamond" w:hAnsi="Garamond" w:cstheme="minorHAnsi"/>
        </w:rPr>
        <w:t xml:space="preserve"> l’émergence de la société numérique et la nécessité d’accompagner le développement de l’e-administration sociale pour faciliter l’accès aux droits et aux services sociaux;</w:t>
      </w:r>
    </w:p>
    <w:p w14:paraId="53A1BFCB" w14:textId="77777777" w:rsidR="00374145" w:rsidRDefault="00400256" w:rsidP="00374145">
      <w:pPr>
        <w:pStyle w:val="Paragraphedeliste"/>
        <w:numPr>
          <w:ilvl w:val="0"/>
          <w:numId w:val="3"/>
        </w:numPr>
        <w:rPr>
          <w:rFonts w:ascii="Garamond" w:hAnsi="Garamond" w:cstheme="minorHAnsi"/>
        </w:rPr>
      </w:pPr>
      <w:r w:rsidRPr="006B6B51">
        <w:rPr>
          <w:rFonts w:ascii="Garamond" w:hAnsi="Garamond" w:cstheme="minorHAnsi"/>
        </w:rPr>
        <w:t xml:space="preserve">s’inscrire dans une approche plus préventive et « </w:t>
      </w:r>
      <w:proofErr w:type="spellStart"/>
      <w:r w:rsidRPr="006B6B51">
        <w:rPr>
          <w:rFonts w:ascii="Garamond" w:hAnsi="Garamond" w:cstheme="minorHAnsi"/>
        </w:rPr>
        <w:t>capacitante</w:t>
      </w:r>
      <w:proofErr w:type="spellEnd"/>
      <w:r w:rsidRPr="006B6B51">
        <w:rPr>
          <w:rFonts w:ascii="Garamond" w:hAnsi="Garamond" w:cstheme="minorHAnsi"/>
        </w:rPr>
        <w:t xml:space="preserve"> » de l’accompagnement social et médico-social : prévenir, anticiper et préparer pour avoir moins à réparer;</w:t>
      </w:r>
    </w:p>
    <w:p w14:paraId="453AE190" w14:textId="7F47AE0D" w:rsidR="00400256" w:rsidRPr="00374145" w:rsidRDefault="00400256" w:rsidP="00374145">
      <w:pPr>
        <w:pStyle w:val="Paragraphedeliste"/>
        <w:numPr>
          <w:ilvl w:val="0"/>
          <w:numId w:val="3"/>
        </w:numPr>
        <w:rPr>
          <w:rFonts w:ascii="Garamond" w:hAnsi="Garamond" w:cstheme="minorHAnsi"/>
        </w:rPr>
      </w:pPr>
      <w:r w:rsidRPr="00374145">
        <w:rPr>
          <w:rFonts w:ascii="Garamond" w:hAnsi="Garamond" w:cstheme="minorHAnsi"/>
        </w:rPr>
        <w:t>impulser de nouveaux modes d’organisation et de coopération entre les acteurs concourant à la mise en œuvre de l’action sociale e</w:t>
      </w:r>
      <w:r w:rsidR="00546315" w:rsidRPr="00374145">
        <w:rPr>
          <w:rFonts w:ascii="Garamond" w:hAnsi="Garamond" w:cstheme="minorHAnsi"/>
        </w:rPr>
        <w:t xml:space="preserve">t médico-sociale </w:t>
      </w:r>
      <w:r w:rsidR="00546315" w:rsidRPr="00C409F4">
        <w:rPr>
          <w:rFonts w:ascii="Garamond" w:hAnsi="Garamond" w:cstheme="minorHAnsi"/>
        </w:rPr>
        <w:t>départementale;</w:t>
      </w:r>
    </w:p>
    <w:p w14:paraId="7EEC315E" w14:textId="77777777" w:rsidR="008F4C81" w:rsidRPr="006B6B51" w:rsidRDefault="00400256" w:rsidP="00995253">
      <w:pPr>
        <w:pStyle w:val="Paragraphedeliste"/>
        <w:numPr>
          <w:ilvl w:val="0"/>
          <w:numId w:val="3"/>
        </w:numPr>
        <w:rPr>
          <w:rFonts w:ascii="Garamond" w:hAnsi="Garamond" w:cstheme="minorHAnsi"/>
        </w:rPr>
      </w:pPr>
      <w:r w:rsidRPr="006B6B51">
        <w:rPr>
          <w:rFonts w:ascii="Garamond" w:hAnsi="Garamond" w:cstheme="minorHAnsi"/>
        </w:rPr>
        <w:t>proposer une action ajustée à chaque personne, dans le cadre d’une offre globale de services adaptée à sa situation et tenant compte des ressources territoriales mobilisables.</w:t>
      </w:r>
    </w:p>
    <w:p w14:paraId="462EDE1B" w14:textId="77777777" w:rsidR="008F4C81" w:rsidRPr="006B6B51" w:rsidRDefault="000C571C" w:rsidP="00F3285B">
      <w:pPr>
        <w:autoSpaceDE w:val="0"/>
        <w:autoSpaceDN w:val="0"/>
        <w:adjustRightInd w:val="0"/>
        <w:spacing w:after="0" w:line="240" w:lineRule="auto"/>
        <w:rPr>
          <w:rFonts w:ascii="Garamond" w:hAnsi="Garamond" w:cstheme="minorHAnsi"/>
        </w:rPr>
      </w:pPr>
      <w:r w:rsidRPr="006B6B51">
        <w:rPr>
          <w:rFonts w:ascii="Garamond" w:hAnsi="Garamond" w:cstheme="minorHAnsi"/>
        </w:rPr>
        <w:t xml:space="preserve">Le schéma interdépartemental 2018-2022 acte la convergence entre les deux conférences des financeurs </w:t>
      </w:r>
      <w:r w:rsidR="005F68EC" w:rsidRPr="006B6B51">
        <w:rPr>
          <w:rFonts w:ascii="Garamond" w:hAnsi="Garamond" w:cstheme="minorHAnsi"/>
        </w:rPr>
        <w:t xml:space="preserve">de la prévention de la perte d’autonomie des personnes âgées </w:t>
      </w:r>
      <w:r w:rsidRPr="006B6B51">
        <w:rPr>
          <w:rFonts w:ascii="Garamond" w:hAnsi="Garamond" w:cstheme="minorHAnsi"/>
        </w:rPr>
        <w:t>et la possibilité d’appel</w:t>
      </w:r>
      <w:r w:rsidR="00BF6E2B" w:rsidRPr="006B6B51">
        <w:rPr>
          <w:rFonts w:ascii="Garamond" w:hAnsi="Garamond" w:cstheme="minorHAnsi"/>
        </w:rPr>
        <w:t>s</w:t>
      </w:r>
      <w:r w:rsidRPr="006B6B51">
        <w:rPr>
          <w:rFonts w:ascii="Garamond" w:hAnsi="Garamond" w:cstheme="minorHAnsi"/>
        </w:rPr>
        <w:t xml:space="preserve"> à projet conjoint.</w:t>
      </w:r>
    </w:p>
    <w:p w14:paraId="05A68D8D" w14:textId="77777777" w:rsidR="005F68EC" w:rsidRPr="006B6B51" w:rsidRDefault="005F68EC" w:rsidP="000C571C">
      <w:pPr>
        <w:autoSpaceDE w:val="0"/>
        <w:autoSpaceDN w:val="0"/>
        <w:adjustRightInd w:val="0"/>
        <w:spacing w:after="0" w:line="240" w:lineRule="auto"/>
        <w:jc w:val="left"/>
        <w:rPr>
          <w:rFonts w:ascii="Garamond" w:hAnsi="Garamond" w:cs="Calibri"/>
          <w:color w:val="002060"/>
        </w:rPr>
      </w:pPr>
    </w:p>
    <w:p w14:paraId="61911364" w14:textId="77777777" w:rsidR="00400256" w:rsidRPr="006B6B51" w:rsidRDefault="008942FA" w:rsidP="00400256">
      <w:pPr>
        <w:pStyle w:val="Titre1"/>
        <w:rPr>
          <w:rFonts w:ascii="Garamond" w:hAnsi="Garamond" w:cstheme="minorHAnsi"/>
          <w:sz w:val="22"/>
          <w:szCs w:val="22"/>
        </w:rPr>
      </w:pPr>
      <w:bookmarkStart w:id="4" w:name="_Toc2326483"/>
      <w:r w:rsidRPr="006B6B51">
        <w:rPr>
          <w:rFonts w:ascii="Garamond" w:hAnsi="Garamond" w:cstheme="minorHAnsi"/>
          <w:sz w:val="22"/>
          <w:szCs w:val="22"/>
        </w:rPr>
        <w:t>La</w:t>
      </w:r>
      <w:r w:rsidR="00400256" w:rsidRPr="006B6B51">
        <w:rPr>
          <w:rFonts w:ascii="Garamond" w:hAnsi="Garamond" w:cstheme="minorHAnsi"/>
          <w:sz w:val="22"/>
          <w:szCs w:val="22"/>
        </w:rPr>
        <w:t xml:space="preserve"> conférence des financeurs</w:t>
      </w:r>
      <w:r w:rsidRPr="006B6B51">
        <w:rPr>
          <w:rFonts w:ascii="Garamond" w:hAnsi="Garamond" w:cstheme="minorHAnsi"/>
          <w:sz w:val="22"/>
          <w:szCs w:val="22"/>
        </w:rPr>
        <w:t xml:space="preserve"> pour la prévention de la perte d’autonomie</w:t>
      </w:r>
      <w:bookmarkEnd w:id="4"/>
    </w:p>
    <w:p w14:paraId="15A1D3E0" w14:textId="77777777" w:rsidR="008F4C81" w:rsidRPr="006B6B51" w:rsidRDefault="008F4C81" w:rsidP="008F4C81">
      <w:pPr>
        <w:rPr>
          <w:rFonts w:ascii="Garamond" w:hAnsi="Garamond" w:cstheme="minorHAnsi"/>
        </w:rPr>
      </w:pPr>
    </w:p>
    <w:p w14:paraId="39E72782" w14:textId="6937B1F8" w:rsidR="005F68EC" w:rsidRPr="006B6B51" w:rsidRDefault="00400256" w:rsidP="00400256">
      <w:pPr>
        <w:rPr>
          <w:rFonts w:ascii="Garamond" w:hAnsi="Garamond" w:cstheme="minorHAnsi"/>
        </w:rPr>
      </w:pPr>
      <w:r w:rsidRPr="006B6B51">
        <w:rPr>
          <w:rFonts w:ascii="Garamond" w:hAnsi="Garamond" w:cstheme="minorHAnsi"/>
        </w:rPr>
        <w:t>Inscrite au volet « anticipation de la perte d’autonomie » de la loi relative à l'adaptation de la société au viei</w:t>
      </w:r>
      <w:r w:rsidR="00316159">
        <w:rPr>
          <w:rFonts w:ascii="Garamond" w:hAnsi="Garamond" w:cstheme="minorHAnsi"/>
        </w:rPr>
        <w:t>llissement du 28</w:t>
      </w:r>
      <w:r w:rsidRPr="006B6B51">
        <w:rPr>
          <w:rFonts w:ascii="Garamond" w:hAnsi="Garamond" w:cstheme="minorHAnsi"/>
        </w:rPr>
        <w:t xml:space="preserve"> décembre 2015, la Conférence des financeurs constitue une nouvelle instance stratégique au bénéfice de la coordination et du déploiement d’une politique de prévention de la perte d’autonomie à l’échelle du territoire départemental. Elle fédère les acteurs du secteur sur une stratégie commune de prévention afin de construire des réponses plus lisibles et cohérentes</w:t>
      </w:r>
      <w:r w:rsidR="008942FA" w:rsidRPr="006B6B51">
        <w:rPr>
          <w:rFonts w:ascii="Garamond" w:hAnsi="Garamond" w:cstheme="minorHAnsi"/>
        </w:rPr>
        <w:t>. La conférence des financeurs gère une enveloppe financière, confiée par la Caisse Nationale de Solidarité de l’Autonomie (CNSA) qui assure un effet levier sur les financements que ses membres consacrent à la préve</w:t>
      </w:r>
      <w:r w:rsidR="0007639B" w:rsidRPr="006B6B51">
        <w:rPr>
          <w:rFonts w:ascii="Garamond" w:hAnsi="Garamond" w:cstheme="minorHAnsi"/>
        </w:rPr>
        <w:t xml:space="preserve">ntion de la perte d’autonomie. </w:t>
      </w:r>
    </w:p>
    <w:p w14:paraId="73E372E0" w14:textId="77777777" w:rsidR="00400256" w:rsidRPr="006B6B51" w:rsidRDefault="00400256" w:rsidP="00400256">
      <w:pPr>
        <w:pStyle w:val="Titre2"/>
        <w:rPr>
          <w:rFonts w:ascii="Garamond" w:hAnsi="Garamond" w:cstheme="minorHAnsi"/>
          <w:sz w:val="22"/>
          <w:szCs w:val="22"/>
        </w:rPr>
      </w:pPr>
      <w:r w:rsidRPr="006B6B51">
        <w:rPr>
          <w:rFonts w:ascii="Garamond" w:hAnsi="Garamond" w:cstheme="minorHAnsi"/>
          <w:sz w:val="22"/>
          <w:szCs w:val="22"/>
        </w:rPr>
        <w:lastRenderedPageBreak/>
        <w:t xml:space="preserve"> </w:t>
      </w:r>
      <w:bookmarkStart w:id="5" w:name="_Toc2326484"/>
      <w:r w:rsidRPr="006B6B51">
        <w:rPr>
          <w:rFonts w:ascii="Garamond" w:hAnsi="Garamond" w:cstheme="minorHAnsi"/>
          <w:sz w:val="22"/>
          <w:szCs w:val="22"/>
        </w:rPr>
        <w:t>La conférence des Yvelines</w:t>
      </w:r>
      <w:bookmarkEnd w:id="5"/>
    </w:p>
    <w:p w14:paraId="77BAF49B" w14:textId="77777777" w:rsidR="00C75DA3" w:rsidRPr="006B6B51" w:rsidRDefault="00C75DA3" w:rsidP="00C75DA3">
      <w:pPr>
        <w:rPr>
          <w:rFonts w:ascii="Garamond" w:hAnsi="Garamond"/>
        </w:rPr>
      </w:pPr>
    </w:p>
    <w:p w14:paraId="5A46DA9D" w14:textId="3E49B162" w:rsidR="00400256" w:rsidRPr="006B6B51" w:rsidRDefault="00400256" w:rsidP="00400256">
      <w:pPr>
        <w:rPr>
          <w:rFonts w:ascii="Garamond" w:hAnsi="Garamond" w:cstheme="minorHAnsi"/>
        </w:rPr>
      </w:pPr>
      <w:r w:rsidRPr="006B6B51">
        <w:rPr>
          <w:rFonts w:ascii="Garamond" w:hAnsi="Garamond" w:cstheme="minorHAnsi"/>
        </w:rPr>
        <w:t xml:space="preserve">Le </w:t>
      </w:r>
      <w:r w:rsidR="002E662D" w:rsidRPr="006B6B51">
        <w:rPr>
          <w:rFonts w:ascii="Garamond" w:hAnsi="Garamond" w:cstheme="minorHAnsi"/>
        </w:rPr>
        <w:t xml:space="preserve">25 octobre </w:t>
      </w:r>
      <w:r w:rsidR="008942FA" w:rsidRPr="006B6B51">
        <w:rPr>
          <w:rFonts w:ascii="Garamond" w:hAnsi="Garamond" w:cstheme="minorHAnsi"/>
        </w:rPr>
        <w:t>2018</w:t>
      </w:r>
      <w:r w:rsidR="00BF6E2B" w:rsidRPr="006B6B51">
        <w:rPr>
          <w:rFonts w:ascii="Garamond" w:hAnsi="Garamond" w:cstheme="minorHAnsi"/>
        </w:rPr>
        <w:t>, les membres de la c</w:t>
      </w:r>
      <w:r w:rsidRPr="006B6B51">
        <w:rPr>
          <w:rFonts w:ascii="Garamond" w:hAnsi="Garamond" w:cstheme="minorHAnsi"/>
        </w:rPr>
        <w:t xml:space="preserve">onférence des financeurs </w:t>
      </w:r>
      <w:r w:rsidR="002A1072" w:rsidRPr="006B6B51">
        <w:rPr>
          <w:rFonts w:ascii="Garamond" w:hAnsi="Garamond" w:cstheme="minorHAnsi"/>
        </w:rPr>
        <w:t xml:space="preserve">des Yvelines </w:t>
      </w:r>
      <w:r w:rsidR="008942FA" w:rsidRPr="006B6B51">
        <w:rPr>
          <w:rFonts w:ascii="Garamond" w:hAnsi="Garamond" w:cstheme="minorHAnsi"/>
        </w:rPr>
        <w:t>ont voté</w:t>
      </w:r>
      <w:r w:rsidRPr="006B6B51">
        <w:rPr>
          <w:rFonts w:ascii="Garamond" w:hAnsi="Garamond" w:cstheme="minorHAnsi"/>
        </w:rPr>
        <w:t xml:space="preserve">  </w:t>
      </w:r>
      <w:r w:rsidR="008942FA" w:rsidRPr="006B6B51">
        <w:rPr>
          <w:rFonts w:ascii="Garamond" w:hAnsi="Garamond" w:cstheme="minorHAnsi"/>
        </w:rPr>
        <w:t xml:space="preserve">leur nouvelle stratégie </w:t>
      </w:r>
      <w:r w:rsidR="00C75DA3" w:rsidRPr="006B6B51">
        <w:rPr>
          <w:rFonts w:ascii="Garamond" w:hAnsi="Garamond" w:cstheme="minorHAnsi"/>
        </w:rPr>
        <w:t>et programme coordonné 2019-2020</w:t>
      </w:r>
      <w:r w:rsidR="008942FA" w:rsidRPr="006B6B51">
        <w:rPr>
          <w:rFonts w:ascii="Garamond" w:hAnsi="Garamond" w:cstheme="minorHAnsi"/>
        </w:rPr>
        <w:t xml:space="preserve">. Le document cadre de référence permet aux acteurs souhaitant déposer </w:t>
      </w:r>
      <w:r w:rsidR="00807B09" w:rsidRPr="006B6B51">
        <w:rPr>
          <w:rFonts w:ascii="Garamond" w:hAnsi="Garamond" w:cstheme="minorHAnsi"/>
        </w:rPr>
        <w:t>un pré-projet</w:t>
      </w:r>
      <w:r w:rsidR="008942FA" w:rsidRPr="006B6B51">
        <w:rPr>
          <w:rFonts w:ascii="Garamond" w:hAnsi="Garamond" w:cstheme="minorHAnsi"/>
        </w:rPr>
        <w:t xml:space="preserve"> de s’y référer pour s’inscrire dans les objectifs définis par les membres de la conférence.</w:t>
      </w:r>
      <w:r w:rsidR="002A1072" w:rsidRPr="006B6B51">
        <w:rPr>
          <w:rFonts w:ascii="Garamond" w:hAnsi="Garamond" w:cstheme="minorHAnsi"/>
        </w:rPr>
        <w:t xml:space="preserve"> Il est joint à cet appel à projet et disponible sur le site du département des Yvelines (</w:t>
      </w:r>
      <w:hyperlink r:id="rId11" w:history="1">
        <w:r w:rsidR="002A1072" w:rsidRPr="006B6B51">
          <w:rPr>
            <w:rFonts w:ascii="Garamond" w:hAnsi="Garamond"/>
          </w:rPr>
          <w:t>https://www.yvelines.fr/solidarite/personnes-agees/autres-aides-dispositifs/prevenir-de-la-perte-dautonomie</w:t>
        </w:r>
      </w:hyperlink>
      <w:r w:rsidR="002A1072" w:rsidRPr="006B6B51">
        <w:rPr>
          <w:rFonts w:ascii="Garamond" w:hAnsi="Garamond" w:cstheme="minorHAnsi"/>
        </w:rPr>
        <w:t xml:space="preserve">). </w:t>
      </w:r>
    </w:p>
    <w:p w14:paraId="6B3DA00F" w14:textId="77777777" w:rsidR="00BF6E2B" w:rsidRPr="006B6B51" w:rsidRDefault="00BF6E2B" w:rsidP="00400256">
      <w:pPr>
        <w:rPr>
          <w:rFonts w:ascii="Garamond" w:hAnsi="Garamond" w:cstheme="minorHAnsi"/>
        </w:rPr>
      </w:pPr>
    </w:p>
    <w:p w14:paraId="36325649" w14:textId="77777777" w:rsidR="008942FA" w:rsidRPr="006B6B51" w:rsidRDefault="008942FA" w:rsidP="008942FA">
      <w:pPr>
        <w:pStyle w:val="Titre2"/>
        <w:numPr>
          <w:ilvl w:val="1"/>
          <w:numId w:val="1"/>
        </w:numPr>
        <w:rPr>
          <w:rFonts w:ascii="Garamond" w:hAnsi="Garamond" w:cstheme="minorHAnsi"/>
          <w:sz w:val="22"/>
          <w:szCs w:val="22"/>
        </w:rPr>
      </w:pPr>
      <w:bookmarkStart w:id="6" w:name="_Toc2326485"/>
      <w:r w:rsidRPr="006B6B51">
        <w:rPr>
          <w:rFonts w:ascii="Garamond" w:hAnsi="Garamond" w:cstheme="minorHAnsi"/>
          <w:sz w:val="22"/>
          <w:szCs w:val="22"/>
        </w:rPr>
        <w:t>La conférence des Hauts-de-Seine</w:t>
      </w:r>
      <w:bookmarkEnd w:id="6"/>
    </w:p>
    <w:p w14:paraId="44250BA8" w14:textId="77777777" w:rsidR="00C75DA3" w:rsidRPr="006B6B51" w:rsidRDefault="00C75DA3" w:rsidP="00C75DA3">
      <w:pPr>
        <w:rPr>
          <w:rFonts w:ascii="Garamond" w:hAnsi="Garamond"/>
        </w:rPr>
      </w:pPr>
    </w:p>
    <w:p w14:paraId="5C3CFD67" w14:textId="77777777" w:rsidR="00951725" w:rsidRPr="006B6B51" w:rsidRDefault="005F68EC" w:rsidP="00400256">
      <w:pPr>
        <w:rPr>
          <w:rFonts w:ascii="Garamond" w:hAnsi="Garamond" w:cstheme="minorHAnsi"/>
        </w:rPr>
      </w:pPr>
      <w:r w:rsidRPr="006B6B51">
        <w:rPr>
          <w:rFonts w:ascii="Garamond" w:hAnsi="Garamond" w:cstheme="minorHAnsi"/>
        </w:rPr>
        <w:t xml:space="preserve">Chaque année, les membres de la Conférence des financeurs proposent à une large diversité d’acteurs de répondre à des appels à projets </w:t>
      </w:r>
      <w:r w:rsidR="005F477C" w:rsidRPr="006B6B51">
        <w:rPr>
          <w:rFonts w:ascii="Garamond" w:hAnsi="Garamond" w:cstheme="minorHAnsi"/>
        </w:rPr>
        <w:t>selon des thématiques définies</w:t>
      </w:r>
      <w:r w:rsidR="005D0A93" w:rsidRPr="006B6B51">
        <w:rPr>
          <w:rFonts w:ascii="Garamond" w:hAnsi="Garamond" w:cstheme="minorHAnsi"/>
        </w:rPr>
        <w:t xml:space="preserve"> et en se fondant sur le diagnostic territorial (http://www.hauts-de-seine.fr/conference-des-financeurs)</w:t>
      </w:r>
      <w:r w:rsidR="005F477C" w:rsidRPr="006B6B51">
        <w:rPr>
          <w:rFonts w:ascii="Garamond" w:hAnsi="Garamond" w:cstheme="minorHAnsi"/>
        </w:rPr>
        <w:t xml:space="preserve">. 2017 a mis en avant «Le bien-vieillir» et «Le lien social et intergénérationnel». En 2018, 5 axes majeurs de travail, </w:t>
      </w:r>
      <w:r w:rsidR="00951725" w:rsidRPr="006B6B51">
        <w:rPr>
          <w:rFonts w:ascii="Garamond" w:hAnsi="Garamond" w:cstheme="minorHAnsi"/>
        </w:rPr>
        <w:t>(</w:t>
      </w:r>
      <w:r w:rsidR="005F477C" w:rsidRPr="006B6B51">
        <w:rPr>
          <w:rFonts w:ascii="Garamond" w:hAnsi="Garamond" w:cstheme="minorHAnsi"/>
        </w:rPr>
        <w:t>Culture, Mobilité, Santé et bien</w:t>
      </w:r>
      <w:r w:rsidR="00951725" w:rsidRPr="006B6B51">
        <w:rPr>
          <w:rFonts w:ascii="Garamond" w:hAnsi="Garamond" w:cstheme="minorHAnsi"/>
        </w:rPr>
        <w:t>-</w:t>
      </w:r>
      <w:r w:rsidR="005F477C" w:rsidRPr="006B6B51">
        <w:rPr>
          <w:rFonts w:ascii="Garamond" w:hAnsi="Garamond" w:cstheme="minorHAnsi"/>
        </w:rPr>
        <w:t xml:space="preserve">être, </w:t>
      </w:r>
      <w:r w:rsidR="00951725" w:rsidRPr="006B6B51">
        <w:rPr>
          <w:rFonts w:ascii="Garamond" w:hAnsi="Garamond" w:cstheme="minorHAnsi"/>
        </w:rPr>
        <w:t xml:space="preserve">Inclusion numérique et convivialité) </w:t>
      </w:r>
      <w:r w:rsidR="005F477C" w:rsidRPr="006B6B51">
        <w:rPr>
          <w:rFonts w:ascii="Garamond" w:hAnsi="Garamond" w:cstheme="minorHAnsi"/>
        </w:rPr>
        <w:t>ont été proposé</w:t>
      </w:r>
      <w:r w:rsidR="00A316E5" w:rsidRPr="006B6B51">
        <w:rPr>
          <w:rFonts w:ascii="Garamond" w:hAnsi="Garamond" w:cstheme="minorHAnsi"/>
        </w:rPr>
        <w:t>s</w:t>
      </w:r>
      <w:r w:rsidR="005F477C" w:rsidRPr="006B6B51">
        <w:rPr>
          <w:rFonts w:ascii="Garamond" w:hAnsi="Garamond" w:cstheme="minorHAnsi"/>
        </w:rPr>
        <w:t xml:space="preserve"> dans le cadre de la mise en œuvre d’un Hackathon « Innovation et autonomie : les attentes des seniors »</w:t>
      </w:r>
      <w:r w:rsidR="00951725" w:rsidRPr="006B6B51">
        <w:rPr>
          <w:rFonts w:ascii="Garamond" w:hAnsi="Garamond" w:cstheme="minorHAnsi"/>
        </w:rPr>
        <w:t xml:space="preserve">. 2019 s’inscrira dans la lignée des années antérieures en renforçant la dimension de l’innovation et de la fusion des projets pour des actions plus ambitieuses et </w:t>
      </w:r>
      <w:proofErr w:type="gramStart"/>
      <w:r w:rsidR="00951725" w:rsidRPr="006B6B51">
        <w:rPr>
          <w:rFonts w:ascii="Garamond" w:hAnsi="Garamond" w:cstheme="minorHAnsi"/>
        </w:rPr>
        <w:t>couvrant</w:t>
      </w:r>
      <w:proofErr w:type="gramEnd"/>
      <w:r w:rsidR="00951725" w:rsidRPr="006B6B51">
        <w:rPr>
          <w:rFonts w:ascii="Garamond" w:hAnsi="Garamond" w:cstheme="minorHAnsi"/>
        </w:rPr>
        <w:t xml:space="preserve"> les différentes facettes de la vie des personnes âgées. </w:t>
      </w:r>
    </w:p>
    <w:p w14:paraId="2AD23C4D" w14:textId="77777777" w:rsidR="0007639B" w:rsidRPr="006B6B51" w:rsidRDefault="0007639B" w:rsidP="0007639B">
      <w:pPr>
        <w:pStyle w:val="Titre1"/>
        <w:rPr>
          <w:rFonts w:ascii="Garamond" w:hAnsi="Garamond" w:cstheme="minorHAnsi"/>
          <w:sz w:val="22"/>
          <w:szCs w:val="22"/>
        </w:rPr>
      </w:pPr>
      <w:bookmarkStart w:id="7" w:name="_Toc2326486"/>
      <w:r w:rsidRPr="006B6B51">
        <w:rPr>
          <w:rFonts w:ascii="Garamond" w:hAnsi="Garamond" w:cstheme="minorHAnsi"/>
          <w:sz w:val="22"/>
          <w:szCs w:val="22"/>
        </w:rPr>
        <w:t xml:space="preserve">Modalités de l’appel à </w:t>
      </w:r>
      <w:r w:rsidR="00807B09" w:rsidRPr="006B6B51">
        <w:rPr>
          <w:rFonts w:ascii="Garamond" w:hAnsi="Garamond" w:cstheme="minorHAnsi"/>
          <w:sz w:val="22"/>
          <w:szCs w:val="22"/>
        </w:rPr>
        <w:t>projet</w:t>
      </w:r>
      <w:bookmarkEnd w:id="7"/>
      <w:r w:rsidR="00807B09" w:rsidRPr="006B6B51">
        <w:rPr>
          <w:rFonts w:ascii="Garamond" w:hAnsi="Garamond" w:cstheme="minorHAnsi"/>
          <w:sz w:val="22"/>
          <w:szCs w:val="22"/>
        </w:rPr>
        <w:t xml:space="preserve"> </w:t>
      </w:r>
    </w:p>
    <w:p w14:paraId="5E600E51" w14:textId="77777777" w:rsidR="0007639B" w:rsidRPr="006B6B51" w:rsidRDefault="0007639B" w:rsidP="0007639B">
      <w:pPr>
        <w:rPr>
          <w:rFonts w:ascii="Garamond" w:hAnsi="Garamond" w:cstheme="minorHAnsi"/>
        </w:rPr>
      </w:pPr>
    </w:p>
    <w:p w14:paraId="26122A0B" w14:textId="77777777" w:rsidR="0007639B" w:rsidRPr="006B6B51" w:rsidRDefault="0007639B" w:rsidP="00995253">
      <w:pPr>
        <w:pStyle w:val="Titre2"/>
        <w:numPr>
          <w:ilvl w:val="1"/>
          <w:numId w:val="4"/>
        </w:numPr>
        <w:rPr>
          <w:rFonts w:ascii="Garamond" w:hAnsi="Garamond" w:cstheme="minorHAnsi"/>
          <w:sz w:val="22"/>
          <w:szCs w:val="22"/>
        </w:rPr>
      </w:pPr>
      <w:bookmarkStart w:id="8" w:name="_Toc2326487"/>
      <w:r w:rsidRPr="006B6B51">
        <w:rPr>
          <w:rFonts w:ascii="Garamond" w:hAnsi="Garamond" w:cstheme="minorHAnsi"/>
          <w:sz w:val="22"/>
          <w:szCs w:val="22"/>
        </w:rPr>
        <w:t>Objet</w:t>
      </w:r>
      <w:bookmarkEnd w:id="8"/>
    </w:p>
    <w:p w14:paraId="21E3C210" w14:textId="77777777" w:rsidR="00BF6E2B" w:rsidRPr="006B6B51" w:rsidRDefault="00BF6E2B" w:rsidP="00BF6E2B">
      <w:pPr>
        <w:rPr>
          <w:rFonts w:ascii="Garamond" w:hAnsi="Garamond"/>
        </w:rPr>
      </w:pPr>
    </w:p>
    <w:p w14:paraId="2F3FF992" w14:textId="33E1D7C1" w:rsidR="0029149B" w:rsidRDefault="00F717A3" w:rsidP="008F4C81">
      <w:pPr>
        <w:rPr>
          <w:rFonts w:ascii="Garamond" w:hAnsi="Garamond" w:cstheme="minorHAnsi"/>
        </w:rPr>
      </w:pPr>
      <w:r w:rsidRPr="006B6B51">
        <w:rPr>
          <w:rFonts w:ascii="Garamond" w:hAnsi="Garamond" w:cstheme="minorHAnsi"/>
        </w:rPr>
        <w:t>L’appel à projet a pour objet une p</w:t>
      </w:r>
      <w:r w:rsidR="00F22730" w:rsidRPr="006B6B51">
        <w:rPr>
          <w:rFonts w:ascii="Garamond" w:hAnsi="Garamond" w:cstheme="minorHAnsi"/>
        </w:rPr>
        <w:t>ré-sélection de</w:t>
      </w:r>
      <w:r w:rsidR="0007639B" w:rsidRPr="006B6B51">
        <w:rPr>
          <w:rFonts w:ascii="Garamond" w:hAnsi="Garamond" w:cstheme="minorHAnsi"/>
        </w:rPr>
        <w:t xml:space="preserve"> projets pour la mise en œuvre d’actions de prévention de la perte d’autonomie des personnes âgées de 60 ans et plus, en réponse aux orientations du programme coordonné,  pour le compte de la « Conférence des financeurs de la prévention de la perte d’autonomie »</w:t>
      </w:r>
      <w:r w:rsidRPr="006B6B51">
        <w:rPr>
          <w:rFonts w:ascii="Garamond" w:hAnsi="Garamond" w:cstheme="minorHAnsi"/>
        </w:rPr>
        <w:t>. Parmi les projets déposés</w:t>
      </w:r>
      <w:r w:rsidR="0007639B" w:rsidRPr="006B6B51">
        <w:rPr>
          <w:rFonts w:ascii="Garamond" w:hAnsi="Garamond" w:cstheme="minorHAnsi"/>
        </w:rPr>
        <w:t xml:space="preserve"> </w:t>
      </w:r>
      <w:r w:rsidRPr="006B6B51">
        <w:rPr>
          <w:rFonts w:ascii="Garamond" w:hAnsi="Garamond" w:cstheme="minorHAnsi"/>
        </w:rPr>
        <w:t xml:space="preserve">les conférences des financeurs opéreront une </w:t>
      </w:r>
      <w:r w:rsidR="0007639B" w:rsidRPr="006B6B51">
        <w:rPr>
          <w:rFonts w:ascii="Garamond" w:hAnsi="Garamond" w:cstheme="minorHAnsi"/>
        </w:rPr>
        <w:t xml:space="preserve"> sélection</w:t>
      </w:r>
      <w:r w:rsidR="002A1072" w:rsidRPr="006B6B51">
        <w:rPr>
          <w:rFonts w:ascii="Garamond" w:hAnsi="Garamond" w:cstheme="minorHAnsi"/>
        </w:rPr>
        <w:t> et</w:t>
      </w:r>
      <w:r w:rsidRPr="006B6B51">
        <w:rPr>
          <w:rFonts w:ascii="Garamond" w:hAnsi="Garamond" w:cstheme="minorHAnsi"/>
        </w:rPr>
        <w:t xml:space="preserve"> les candidats dont les projets ont été sélectionnés</w:t>
      </w:r>
      <w:r w:rsidR="0007639B" w:rsidRPr="006B6B51">
        <w:rPr>
          <w:rFonts w:ascii="Garamond" w:hAnsi="Garamond" w:cstheme="minorHAnsi"/>
        </w:rPr>
        <w:t xml:space="preserve"> bénéficier</w:t>
      </w:r>
      <w:r w:rsidRPr="006B6B51">
        <w:rPr>
          <w:rFonts w:ascii="Garamond" w:hAnsi="Garamond" w:cstheme="minorHAnsi"/>
        </w:rPr>
        <w:t>ont</w:t>
      </w:r>
      <w:r w:rsidR="002A1072" w:rsidRPr="006B6B51">
        <w:rPr>
          <w:rFonts w:ascii="Garamond" w:hAnsi="Garamond" w:cstheme="minorHAnsi"/>
        </w:rPr>
        <w:t xml:space="preserve"> d’un accompagnement. Les porteurs de projet sélectionnés devront s’engager à participer avec assiduité à cet accompagnement. </w:t>
      </w:r>
      <w:r w:rsidR="00280BFE" w:rsidRPr="006B6B51">
        <w:rPr>
          <w:rFonts w:ascii="Garamond" w:hAnsi="Garamond" w:cstheme="minorHAnsi"/>
        </w:rPr>
        <w:t>A l’issue de ce processus d’accompagnement, les candidats présenteront leurs projets finalisés devant un jury composé principalement des membres des conférences des financeurs qui déterminera le</w:t>
      </w:r>
      <w:r w:rsidR="0007639B" w:rsidRPr="006B6B51">
        <w:rPr>
          <w:rFonts w:ascii="Garamond" w:hAnsi="Garamond" w:cstheme="minorHAnsi"/>
        </w:rPr>
        <w:t xml:space="preserve"> </w:t>
      </w:r>
      <w:r w:rsidR="00280BFE" w:rsidRPr="006B6B51">
        <w:rPr>
          <w:rFonts w:ascii="Garamond" w:hAnsi="Garamond" w:cstheme="minorHAnsi"/>
        </w:rPr>
        <w:t xml:space="preserve">montant des </w:t>
      </w:r>
      <w:r w:rsidR="0007639B" w:rsidRPr="006B6B51">
        <w:rPr>
          <w:rFonts w:ascii="Garamond" w:hAnsi="Garamond" w:cstheme="minorHAnsi"/>
        </w:rPr>
        <w:t>financement</w:t>
      </w:r>
      <w:r w:rsidR="00280BFE" w:rsidRPr="006B6B51">
        <w:rPr>
          <w:rFonts w:ascii="Garamond" w:hAnsi="Garamond" w:cstheme="minorHAnsi"/>
        </w:rPr>
        <w:t>s accordés aux projets</w:t>
      </w:r>
      <w:r w:rsidR="0007639B" w:rsidRPr="006B6B51">
        <w:rPr>
          <w:rFonts w:ascii="Garamond" w:hAnsi="Garamond" w:cstheme="minorHAnsi"/>
        </w:rPr>
        <w:t>.</w:t>
      </w:r>
    </w:p>
    <w:p w14:paraId="7A1EC467" w14:textId="77777777" w:rsidR="00DE620E" w:rsidRPr="006B6B51" w:rsidRDefault="00DE620E" w:rsidP="008F4C81">
      <w:pPr>
        <w:rPr>
          <w:rFonts w:ascii="Garamond" w:hAnsi="Garamond" w:cstheme="minorHAnsi"/>
        </w:rPr>
      </w:pPr>
    </w:p>
    <w:p w14:paraId="44562563" w14:textId="77777777" w:rsidR="002E7606" w:rsidRPr="006B6B51" w:rsidRDefault="002E7606" w:rsidP="00995253">
      <w:pPr>
        <w:pStyle w:val="Titre2"/>
        <w:numPr>
          <w:ilvl w:val="1"/>
          <w:numId w:val="4"/>
        </w:numPr>
        <w:rPr>
          <w:rFonts w:ascii="Garamond" w:hAnsi="Garamond" w:cstheme="minorHAnsi"/>
          <w:sz w:val="22"/>
          <w:szCs w:val="22"/>
        </w:rPr>
      </w:pPr>
      <w:bookmarkStart w:id="9" w:name="_Toc2326488"/>
      <w:r w:rsidRPr="006B6B51">
        <w:rPr>
          <w:rFonts w:ascii="Garamond" w:hAnsi="Garamond" w:cstheme="minorHAnsi"/>
          <w:sz w:val="22"/>
          <w:szCs w:val="22"/>
        </w:rPr>
        <w:t>Thème</w:t>
      </w:r>
      <w:r w:rsidR="00574F2A" w:rsidRPr="006B6B51">
        <w:rPr>
          <w:rFonts w:ascii="Garamond" w:hAnsi="Garamond" w:cstheme="minorHAnsi"/>
          <w:sz w:val="22"/>
          <w:szCs w:val="22"/>
        </w:rPr>
        <w:t>s</w:t>
      </w:r>
      <w:r w:rsidRPr="006B6B51">
        <w:rPr>
          <w:rFonts w:ascii="Garamond" w:hAnsi="Garamond" w:cstheme="minorHAnsi"/>
          <w:sz w:val="22"/>
          <w:szCs w:val="22"/>
        </w:rPr>
        <w:t xml:space="preserve"> prioritaire</w:t>
      </w:r>
      <w:r w:rsidR="00574F2A" w:rsidRPr="006B6B51">
        <w:rPr>
          <w:rFonts w:ascii="Garamond" w:hAnsi="Garamond" w:cstheme="minorHAnsi"/>
          <w:sz w:val="22"/>
          <w:szCs w:val="22"/>
        </w:rPr>
        <w:t>s</w:t>
      </w:r>
      <w:bookmarkEnd w:id="9"/>
    </w:p>
    <w:p w14:paraId="37E52E84" w14:textId="77777777" w:rsidR="00BF6E2B" w:rsidRPr="006B6B51" w:rsidRDefault="00BF6E2B" w:rsidP="00BF6E2B">
      <w:pPr>
        <w:rPr>
          <w:rFonts w:ascii="Garamond" w:hAnsi="Garamond"/>
        </w:rPr>
      </w:pPr>
    </w:p>
    <w:p w14:paraId="6E3658D7" w14:textId="77777777" w:rsidR="00F22730" w:rsidRPr="006B6B51" w:rsidRDefault="00F22730" w:rsidP="002E7606">
      <w:pPr>
        <w:rPr>
          <w:rFonts w:ascii="Garamond" w:hAnsi="Garamond" w:cstheme="minorHAnsi"/>
        </w:rPr>
      </w:pPr>
      <w:r w:rsidRPr="006B6B51">
        <w:rPr>
          <w:rFonts w:ascii="Garamond" w:hAnsi="Garamond" w:cstheme="minorHAnsi"/>
        </w:rPr>
        <w:t xml:space="preserve">Conformément au programme coordonné des deux conférences des financeurs départementales, les thèmes </w:t>
      </w:r>
      <w:r w:rsidR="005037C2" w:rsidRPr="006B6B51">
        <w:rPr>
          <w:rFonts w:ascii="Garamond" w:hAnsi="Garamond" w:cstheme="minorHAnsi"/>
        </w:rPr>
        <w:t>prioritaires sont les suivants :</w:t>
      </w:r>
    </w:p>
    <w:p w14:paraId="35FB169C" w14:textId="77777777" w:rsidR="00807B09" w:rsidRPr="006B6B51" w:rsidRDefault="00F1299F" w:rsidP="002E7606">
      <w:pPr>
        <w:rPr>
          <w:rFonts w:ascii="Garamond" w:hAnsi="Garamond" w:cstheme="minorHAnsi"/>
        </w:rPr>
      </w:pPr>
      <w:r w:rsidRPr="006B6B51">
        <w:rPr>
          <w:rFonts w:ascii="Garamond" w:hAnsi="Garamond" w:cstheme="minorHAnsi"/>
        </w:rPr>
        <w:t>- A</w:t>
      </w:r>
      <w:r w:rsidR="00807B09" w:rsidRPr="006B6B51">
        <w:rPr>
          <w:rFonts w:ascii="Garamond" w:hAnsi="Garamond" w:cstheme="minorHAnsi"/>
        </w:rPr>
        <w:t xml:space="preserve">daptation </w:t>
      </w:r>
      <w:r w:rsidRPr="006B6B51">
        <w:rPr>
          <w:rFonts w:ascii="Garamond" w:hAnsi="Garamond" w:cstheme="minorHAnsi"/>
        </w:rPr>
        <w:t>de l’habitat</w:t>
      </w:r>
      <w:r w:rsidR="00807B09" w:rsidRPr="006B6B51">
        <w:rPr>
          <w:rFonts w:ascii="Garamond" w:hAnsi="Garamond" w:cstheme="minorHAnsi"/>
        </w:rPr>
        <w:t xml:space="preserve"> et aides techniques</w:t>
      </w:r>
      <w:r w:rsidR="00BF6E2B" w:rsidRPr="006B6B51">
        <w:rPr>
          <w:rFonts w:ascii="Garamond" w:hAnsi="Garamond" w:cstheme="minorHAnsi"/>
        </w:rPr>
        <w:t xml:space="preserve"> </w:t>
      </w:r>
      <w:r w:rsidR="00807B09" w:rsidRPr="006B6B51">
        <w:rPr>
          <w:rFonts w:ascii="Garamond" w:hAnsi="Garamond" w:cstheme="minorHAnsi"/>
        </w:rPr>
        <w:t xml:space="preserve">; </w:t>
      </w:r>
    </w:p>
    <w:p w14:paraId="7C9F24BA" w14:textId="77777777" w:rsidR="00807B09" w:rsidRPr="006B6B51" w:rsidRDefault="00807B09" w:rsidP="002E7606">
      <w:pPr>
        <w:rPr>
          <w:rFonts w:ascii="Garamond" w:hAnsi="Garamond" w:cstheme="minorHAnsi"/>
        </w:rPr>
      </w:pPr>
      <w:r w:rsidRPr="006B6B51">
        <w:rPr>
          <w:rFonts w:ascii="Garamond" w:hAnsi="Garamond" w:cstheme="minorHAnsi"/>
        </w:rPr>
        <w:t>- S</w:t>
      </w:r>
      <w:r w:rsidR="00BF6E2B" w:rsidRPr="006B6B51">
        <w:rPr>
          <w:rFonts w:ascii="Garamond" w:hAnsi="Garamond" w:cstheme="minorHAnsi"/>
        </w:rPr>
        <w:t>anté-nutrition ;</w:t>
      </w:r>
    </w:p>
    <w:p w14:paraId="0050ED68" w14:textId="77777777" w:rsidR="00807B09" w:rsidRPr="006B6B51" w:rsidRDefault="00807B09" w:rsidP="002E7606">
      <w:pPr>
        <w:rPr>
          <w:rFonts w:ascii="Garamond" w:hAnsi="Garamond" w:cstheme="minorHAnsi"/>
        </w:rPr>
      </w:pPr>
      <w:r w:rsidRPr="006B6B51">
        <w:rPr>
          <w:rFonts w:ascii="Garamond" w:hAnsi="Garamond" w:cstheme="minorHAnsi"/>
        </w:rPr>
        <w:t>- Bien être-lien social ;</w:t>
      </w:r>
    </w:p>
    <w:p w14:paraId="3BB06FBF" w14:textId="77777777" w:rsidR="00807B09" w:rsidRPr="006B6B51" w:rsidRDefault="00807B09" w:rsidP="002E7606">
      <w:pPr>
        <w:rPr>
          <w:rFonts w:ascii="Garamond" w:hAnsi="Garamond" w:cstheme="minorHAnsi"/>
        </w:rPr>
      </w:pPr>
      <w:r w:rsidRPr="006B6B51">
        <w:rPr>
          <w:rFonts w:ascii="Garamond" w:hAnsi="Garamond" w:cstheme="minorHAnsi"/>
        </w:rPr>
        <w:t>- Culture ;</w:t>
      </w:r>
    </w:p>
    <w:p w14:paraId="7ABBB85E" w14:textId="77777777" w:rsidR="00F22730" w:rsidRPr="006B6B51" w:rsidRDefault="00807B09" w:rsidP="002E7606">
      <w:pPr>
        <w:rPr>
          <w:rFonts w:ascii="Garamond" w:hAnsi="Garamond" w:cstheme="minorHAnsi"/>
        </w:rPr>
      </w:pPr>
      <w:r w:rsidRPr="006B6B51">
        <w:rPr>
          <w:rFonts w:ascii="Garamond" w:hAnsi="Garamond" w:cstheme="minorHAnsi"/>
        </w:rPr>
        <w:t>- Inclusion numérique.</w:t>
      </w:r>
    </w:p>
    <w:p w14:paraId="0E9CEF67" w14:textId="77777777" w:rsidR="00D53E39" w:rsidRPr="006B6B51" w:rsidRDefault="005037C2" w:rsidP="008F4C81">
      <w:pPr>
        <w:rPr>
          <w:rFonts w:ascii="Garamond" w:hAnsi="Garamond" w:cstheme="minorHAnsi"/>
        </w:rPr>
      </w:pPr>
      <w:r w:rsidRPr="006B6B51">
        <w:rPr>
          <w:rFonts w:ascii="Garamond" w:hAnsi="Garamond" w:cstheme="minorHAnsi"/>
        </w:rPr>
        <w:lastRenderedPageBreak/>
        <w:t xml:space="preserve">Les projets devront </w:t>
      </w:r>
      <w:r w:rsidR="00574F2A" w:rsidRPr="006B6B51">
        <w:rPr>
          <w:rFonts w:ascii="Garamond" w:hAnsi="Garamond" w:cstheme="minorHAnsi"/>
        </w:rPr>
        <w:t xml:space="preserve">obligatoirement </w:t>
      </w:r>
      <w:r w:rsidRPr="006B6B51">
        <w:rPr>
          <w:rFonts w:ascii="Garamond" w:hAnsi="Garamond" w:cstheme="minorHAnsi"/>
        </w:rPr>
        <w:t>s’inscrire dans un ou plusieurs des thèmes.</w:t>
      </w:r>
    </w:p>
    <w:p w14:paraId="359902A2" w14:textId="77777777" w:rsidR="00951725" w:rsidRPr="006B6B51" w:rsidRDefault="00951725" w:rsidP="008F4C81">
      <w:pPr>
        <w:rPr>
          <w:rFonts w:ascii="Garamond" w:hAnsi="Garamond" w:cstheme="minorHAnsi"/>
        </w:rPr>
      </w:pPr>
    </w:p>
    <w:p w14:paraId="4A06CDE1" w14:textId="77777777" w:rsidR="00D43B92" w:rsidRPr="006B6B51" w:rsidRDefault="0007639B" w:rsidP="0007639B">
      <w:pPr>
        <w:pStyle w:val="Titre2"/>
        <w:numPr>
          <w:ilvl w:val="1"/>
          <w:numId w:val="1"/>
        </w:numPr>
        <w:rPr>
          <w:rFonts w:ascii="Garamond" w:hAnsi="Garamond" w:cstheme="minorHAnsi"/>
          <w:sz w:val="22"/>
          <w:szCs w:val="22"/>
        </w:rPr>
      </w:pPr>
      <w:bookmarkStart w:id="10" w:name="_Toc2326489"/>
      <w:r w:rsidRPr="006B6B51">
        <w:rPr>
          <w:rFonts w:ascii="Garamond" w:hAnsi="Garamond" w:cstheme="minorHAnsi"/>
          <w:sz w:val="22"/>
          <w:szCs w:val="22"/>
        </w:rPr>
        <w:t>P</w:t>
      </w:r>
      <w:r w:rsidR="00D43B92" w:rsidRPr="006B6B51">
        <w:rPr>
          <w:rFonts w:ascii="Garamond" w:hAnsi="Garamond" w:cstheme="minorHAnsi"/>
          <w:sz w:val="22"/>
          <w:szCs w:val="22"/>
        </w:rPr>
        <w:t>ublication</w:t>
      </w:r>
      <w:bookmarkEnd w:id="10"/>
    </w:p>
    <w:p w14:paraId="02150017" w14:textId="77777777" w:rsidR="00BF6E2B" w:rsidRPr="006B6B51" w:rsidRDefault="00BF6E2B" w:rsidP="00BF6E2B">
      <w:pPr>
        <w:rPr>
          <w:rFonts w:ascii="Garamond" w:hAnsi="Garamond"/>
        </w:rPr>
      </w:pPr>
    </w:p>
    <w:p w14:paraId="7AB1338A" w14:textId="72E6D513" w:rsidR="00133F08" w:rsidRPr="006B6B51" w:rsidRDefault="00133F08" w:rsidP="0007639B">
      <w:pPr>
        <w:rPr>
          <w:rFonts w:ascii="Garamond" w:hAnsi="Garamond" w:cstheme="minorHAnsi"/>
        </w:rPr>
      </w:pPr>
      <w:r w:rsidRPr="006B6B51">
        <w:rPr>
          <w:rFonts w:ascii="Garamond" w:hAnsi="Garamond" w:cstheme="minorHAnsi"/>
        </w:rPr>
        <w:t>L’avis d’appel à candidatures sera diffusé sur les sites internet du département des Yvelines (</w:t>
      </w:r>
      <w:hyperlink r:id="rId12" w:history="1">
        <w:r w:rsidRPr="006B6B51">
          <w:rPr>
            <w:rStyle w:val="Lienhypertexte"/>
            <w:rFonts w:ascii="Garamond" w:hAnsi="Garamond" w:cstheme="minorHAnsi"/>
          </w:rPr>
          <w:t>http://www.yvelines.fr</w:t>
        </w:r>
      </w:hyperlink>
      <w:r w:rsidRPr="006B6B51">
        <w:rPr>
          <w:rFonts w:ascii="Garamond" w:hAnsi="Garamond" w:cstheme="minorHAnsi"/>
        </w:rPr>
        <w:t>), du département des Hauts-de-Seine</w:t>
      </w:r>
      <w:r w:rsidR="00BE0AFA" w:rsidRPr="006B6B51">
        <w:rPr>
          <w:rFonts w:ascii="Garamond" w:hAnsi="Garamond" w:cstheme="minorHAnsi"/>
        </w:rPr>
        <w:t xml:space="preserve"> (</w:t>
      </w:r>
      <w:hyperlink r:id="rId13" w:history="1">
        <w:r w:rsidR="00BE0AFA" w:rsidRPr="006B6B51">
          <w:rPr>
            <w:rStyle w:val="Lienhypertexte"/>
            <w:rFonts w:ascii="Garamond" w:hAnsi="Garamond" w:cstheme="minorHAnsi"/>
          </w:rPr>
          <w:t>http://www.hauts-de-seine.fr</w:t>
        </w:r>
      </w:hyperlink>
      <w:r w:rsidR="004308F8">
        <w:rPr>
          <w:rFonts w:ascii="Garamond" w:hAnsi="Garamond" w:cstheme="minorHAnsi"/>
        </w:rPr>
        <w:t>)</w:t>
      </w:r>
      <w:r w:rsidRPr="006B6B51">
        <w:rPr>
          <w:rFonts w:ascii="Garamond" w:hAnsi="Garamond" w:cstheme="minorHAnsi"/>
        </w:rPr>
        <w:t>.</w:t>
      </w:r>
    </w:p>
    <w:p w14:paraId="7B133662" w14:textId="77777777" w:rsidR="0007639B" w:rsidRPr="006B6B51" w:rsidRDefault="0007639B" w:rsidP="00133F08">
      <w:pPr>
        <w:pStyle w:val="Titre2"/>
        <w:numPr>
          <w:ilvl w:val="0"/>
          <w:numId w:val="0"/>
        </w:numPr>
        <w:ind w:left="720" w:hanging="360"/>
        <w:rPr>
          <w:rFonts w:ascii="Garamond" w:hAnsi="Garamond" w:cstheme="minorHAnsi"/>
          <w:sz w:val="22"/>
          <w:szCs w:val="22"/>
        </w:rPr>
      </w:pPr>
    </w:p>
    <w:p w14:paraId="2B1A4B1C" w14:textId="77777777" w:rsidR="00D43B92" w:rsidRPr="006B6B51" w:rsidRDefault="00133F08" w:rsidP="00133F08">
      <w:pPr>
        <w:pStyle w:val="Titre2"/>
        <w:numPr>
          <w:ilvl w:val="1"/>
          <w:numId w:val="1"/>
        </w:numPr>
        <w:rPr>
          <w:rFonts w:ascii="Garamond" w:hAnsi="Garamond" w:cstheme="minorHAnsi"/>
          <w:sz w:val="22"/>
          <w:szCs w:val="22"/>
        </w:rPr>
      </w:pPr>
      <w:bookmarkStart w:id="11" w:name="_Toc2326490"/>
      <w:r w:rsidRPr="006B6B51">
        <w:rPr>
          <w:rFonts w:ascii="Garamond" w:hAnsi="Garamond" w:cstheme="minorHAnsi"/>
          <w:sz w:val="22"/>
          <w:szCs w:val="22"/>
        </w:rPr>
        <w:t>D</w:t>
      </w:r>
      <w:r w:rsidR="00D43B92" w:rsidRPr="006B6B51">
        <w:rPr>
          <w:rFonts w:ascii="Garamond" w:hAnsi="Garamond" w:cstheme="minorHAnsi"/>
          <w:sz w:val="22"/>
          <w:szCs w:val="22"/>
        </w:rPr>
        <w:t>épôt</w:t>
      </w:r>
      <w:r w:rsidRPr="006B6B51">
        <w:rPr>
          <w:rFonts w:ascii="Garamond" w:hAnsi="Garamond" w:cstheme="minorHAnsi"/>
          <w:sz w:val="22"/>
          <w:szCs w:val="22"/>
        </w:rPr>
        <w:t xml:space="preserve"> des dossiers</w:t>
      </w:r>
      <w:bookmarkEnd w:id="11"/>
    </w:p>
    <w:p w14:paraId="2AC02E3D" w14:textId="77777777" w:rsidR="0007639B" w:rsidRPr="006B6B51" w:rsidRDefault="0007639B" w:rsidP="008F4C81">
      <w:pPr>
        <w:rPr>
          <w:rFonts w:ascii="Garamond" w:hAnsi="Garamond" w:cstheme="minorHAnsi"/>
        </w:rPr>
      </w:pPr>
    </w:p>
    <w:p w14:paraId="29BAB56D" w14:textId="18070D92" w:rsidR="0007639B" w:rsidRPr="006B6B51" w:rsidRDefault="0007639B" w:rsidP="00133F08">
      <w:pPr>
        <w:rPr>
          <w:rFonts w:ascii="Garamond" w:hAnsi="Garamond" w:cstheme="minorHAnsi"/>
          <w:highlight w:val="yellow"/>
        </w:rPr>
      </w:pPr>
      <w:r w:rsidRPr="006B6B51">
        <w:rPr>
          <w:rFonts w:ascii="Garamond" w:hAnsi="Garamond" w:cstheme="minorHAnsi"/>
        </w:rPr>
        <w:t>Le dépôt des d</w:t>
      </w:r>
      <w:r w:rsidR="006A3AF4">
        <w:rPr>
          <w:rFonts w:ascii="Garamond" w:hAnsi="Garamond" w:cstheme="minorHAnsi"/>
        </w:rPr>
        <w:t xml:space="preserve">ossiers </w:t>
      </w:r>
      <w:r w:rsidRPr="00C409F4">
        <w:rPr>
          <w:rFonts w:ascii="Garamond" w:hAnsi="Garamond" w:cstheme="minorHAnsi"/>
        </w:rPr>
        <w:t>s’opère</w:t>
      </w:r>
      <w:r w:rsidRPr="006B6B51">
        <w:rPr>
          <w:rFonts w:ascii="Garamond" w:hAnsi="Garamond" w:cstheme="minorHAnsi"/>
        </w:rPr>
        <w:t xml:space="preserve"> du </w:t>
      </w:r>
      <w:r w:rsidR="004308F8" w:rsidRPr="004308F8">
        <w:rPr>
          <w:rFonts w:ascii="Garamond" w:hAnsi="Garamond" w:cstheme="minorHAnsi"/>
          <w:b/>
          <w:color w:val="FF0000"/>
        </w:rPr>
        <w:t>01.04.2019 au 26.04.2019</w:t>
      </w:r>
      <w:r w:rsidRPr="004308F8">
        <w:rPr>
          <w:rFonts w:ascii="Garamond" w:hAnsi="Garamond" w:cstheme="minorHAnsi"/>
          <w:color w:val="FF0000"/>
        </w:rPr>
        <w:t xml:space="preserve"> </w:t>
      </w:r>
      <w:r w:rsidRPr="006B6B51">
        <w:rPr>
          <w:rFonts w:ascii="Garamond" w:hAnsi="Garamond" w:cstheme="minorHAnsi"/>
        </w:rPr>
        <w:t xml:space="preserve">à 23h59. </w:t>
      </w:r>
    </w:p>
    <w:p w14:paraId="7ACED336" w14:textId="7DC7B832" w:rsidR="00133F08" w:rsidRPr="006B6B51" w:rsidRDefault="008B5CED" w:rsidP="00133F08">
      <w:pPr>
        <w:rPr>
          <w:rFonts w:ascii="Garamond" w:hAnsi="Garamond" w:cstheme="minorHAnsi"/>
        </w:rPr>
      </w:pPr>
      <w:r>
        <w:rPr>
          <w:rFonts w:ascii="Garamond" w:hAnsi="Garamond" w:cstheme="minorHAnsi"/>
        </w:rPr>
        <w:t>La demande</w:t>
      </w:r>
      <w:r w:rsidR="00133F08" w:rsidRPr="006B6B51">
        <w:rPr>
          <w:rFonts w:ascii="Garamond" w:hAnsi="Garamond" w:cstheme="minorHAnsi"/>
        </w:rPr>
        <w:t xml:space="preserve"> est constitué</w:t>
      </w:r>
      <w:r>
        <w:rPr>
          <w:rFonts w:ascii="Garamond" w:hAnsi="Garamond" w:cstheme="minorHAnsi"/>
        </w:rPr>
        <w:t>e</w:t>
      </w:r>
      <w:r w:rsidR="00133F08" w:rsidRPr="006B6B51">
        <w:rPr>
          <w:rFonts w:ascii="Garamond" w:hAnsi="Garamond" w:cstheme="minorHAnsi"/>
        </w:rPr>
        <w:t xml:space="preserve"> des </w:t>
      </w:r>
      <w:r>
        <w:rPr>
          <w:rFonts w:ascii="Garamond" w:hAnsi="Garamond" w:cstheme="minorHAnsi"/>
        </w:rPr>
        <w:t>informations</w:t>
      </w:r>
      <w:r w:rsidR="00133F08" w:rsidRPr="006B6B51">
        <w:rPr>
          <w:rFonts w:ascii="Garamond" w:hAnsi="Garamond" w:cstheme="minorHAnsi"/>
        </w:rPr>
        <w:t xml:space="preserve"> suivantes :</w:t>
      </w:r>
    </w:p>
    <w:p w14:paraId="6B89BCCB" w14:textId="321047D9" w:rsidR="00BE0AFA" w:rsidRPr="006B6B51" w:rsidRDefault="008B5CED" w:rsidP="00995253">
      <w:pPr>
        <w:pStyle w:val="Paragraphedeliste"/>
        <w:numPr>
          <w:ilvl w:val="0"/>
          <w:numId w:val="7"/>
        </w:numPr>
        <w:rPr>
          <w:rFonts w:ascii="Garamond" w:hAnsi="Garamond" w:cstheme="minorHAnsi"/>
        </w:rPr>
      </w:pPr>
      <w:r>
        <w:rPr>
          <w:rFonts w:ascii="Garamond" w:hAnsi="Garamond" w:cstheme="minorHAnsi"/>
        </w:rPr>
        <w:t>P</w:t>
      </w:r>
      <w:r w:rsidR="00BE0AFA" w:rsidRPr="006B6B51">
        <w:rPr>
          <w:rFonts w:ascii="Garamond" w:hAnsi="Garamond" w:cstheme="minorHAnsi"/>
        </w:rPr>
        <w:t>résentation de la structure porteuse du projet,</w:t>
      </w:r>
    </w:p>
    <w:p w14:paraId="382BB0EF" w14:textId="77777777" w:rsidR="008B5CED" w:rsidRDefault="008B5CED" w:rsidP="008B5CED">
      <w:pPr>
        <w:pStyle w:val="Paragraphedeliste"/>
        <w:numPr>
          <w:ilvl w:val="0"/>
          <w:numId w:val="7"/>
        </w:numPr>
        <w:rPr>
          <w:rFonts w:ascii="Garamond" w:hAnsi="Garamond" w:cstheme="minorHAnsi"/>
        </w:rPr>
      </w:pPr>
      <w:r>
        <w:rPr>
          <w:rFonts w:ascii="Garamond" w:hAnsi="Garamond" w:cstheme="minorHAnsi"/>
        </w:rPr>
        <w:t>P</w:t>
      </w:r>
      <w:r w:rsidR="00BE0AFA" w:rsidRPr="006B6B51">
        <w:rPr>
          <w:rFonts w:ascii="Garamond" w:hAnsi="Garamond" w:cstheme="minorHAnsi"/>
        </w:rPr>
        <w:t>résentation de l’action,</w:t>
      </w:r>
    </w:p>
    <w:p w14:paraId="0562794F" w14:textId="09D17B3F" w:rsidR="001175F2" w:rsidRPr="008B5CED" w:rsidRDefault="008B5CED" w:rsidP="008B5CED">
      <w:pPr>
        <w:pStyle w:val="Paragraphedeliste"/>
        <w:numPr>
          <w:ilvl w:val="0"/>
          <w:numId w:val="7"/>
        </w:numPr>
        <w:tabs>
          <w:tab w:val="left" w:pos="2977"/>
        </w:tabs>
        <w:rPr>
          <w:rFonts w:ascii="Garamond" w:hAnsi="Garamond" w:cstheme="minorHAnsi"/>
        </w:rPr>
      </w:pPr>
      <w:r>
        <w:rPr>
          <w:rFonts w:ascii="Garamond" w:hAnsi="Garamond" w:cstheme="minorHAnsi"/>
        </w:rPr>
        <w:t>Budget.</w:t>
      </w:r>
    </w:p>
    <w:p w14:paraId="52FE7019" w14:textId="5DE550B2" w:rsidR="00D17B62" w:rsidRPr="006B6B51" w:rsidRDefault="00BE0AFA" w:rsidP="00BE0AFA">
      <w:pPr>
        <w:rPr>
          <w:rFonts w:ascii="Garamond" w:hAnsi="Garamond" w:cs="Arial"/>
        </w:rPr>
      </w:pPr>
      <w:r w:rsidRPr="006B6B51">
        <w:rPr>
          <w:rFonts w:ascii="Garamond" w:hAnsi="Garamond" w:cs="Arial"/>
        </w:rPr>
        <w:t>En cas de demandes de financements au titre de plusieurs actions, le porteur de projet est invit</w:t>
      </w:r>
      <w:r w:rsidR="0056240B">
        <w:rPr>
          <w:rFonts w:ascii="Garamond" w:hAnsi="Garamond" w:cs="Arial"/>
        </w:rPr>
        <w:t xml:space="preserve">é à déposer un dossier </w:t>
      </w:r>
      <w:r w:rsidRPr="006B6B51">
        <w:rPr>
          <w:rFonts w:ascii="Garamond" w:hAnsi="Garamond" w:cs="Arial"/>
        </w:rPr>
        <w:t>pour chacune des actions.</w:t>
      </w:r>
    </w:p>
    <w:p w14:paraId="061F4913" w14:textId="77777777" w:rsidR="00A1520D" w:rsidRPr="006B6B51" w:rsidRDefault="00A1520D" w:rsidP="00BE0AFA">
      <w:pPr>
        <w:rPr>
          <w:rFonts w:ascii="Garamond" w:hAnsi="Garamond" w:cs="Arial"/>
        </w:rPr>
      </w:pPr>
    </w:p>
    <w:p w14:paraId="79431725" w14:textId="77777777" w:rsidR="00133F08" w:rsidRPr="006B6B51" w:rsidRDefault="00133F08" w:rsidP="00995253">
      <w:pPr>
        <w:pStyle w:val="Titre2"/>
        <w:numPr>
          <w:ilvl w:val="2"/>
          <w:numId w:val="1"/>
        </w:numPr>
        <w:ind w:hanging="371"/>
        <w:rPr>
          <w:rFonts w:ascii="Garamond" w:hAnsi="Garamond" w:cstheme="minorHAnsi"/>
          <w:sz w:val="22"/>
          <w:szCs w:val="22"/>
        </w:rPr>
      </w:pPr>
      <w:bookmarkStart w:id="12" w:name="_Toc2326491"/>
      <w:r w:rsidRPr="006B6B51">
        <w:rPr>
          <w:rFonts w:ascii="Garamond" w:hAnsi="Garamond" w:cstheme="minorHAnsi"/>
          <w:sz w:val="22"/>
          <w:szCs w:val="22"/>
        </w:rPr>
        <w:t>Candidats éligibles</w:t>
      </w:r>
      <w:bookmarkEnd w:id="12"/>
    </w:p>
    <w:p w14:paraId="1DDBDDF4" w14:textId="77777777" w:rsidR="00BF6E2B" w:rsidRPr="006B6B51" w:rsidRDefault="00BF6E2B" w:rsidP="00BF6E2B">
      <w:pPr>
        <w:rPr>
          <w:rFonts w:ascii="Garamond" w:hAnsi="Garamond"/>
        </w:rPr>
      </w:pPr>
    </w:p>
    <w:p w14:paraId="16DEA8B1" w14:textId="77777777" w:rsidR="00133F08" w:rsidRPr="006B6B51" w:rsidRDefault="00133F08" w:rsidP="00133F08">
      <w:pPr>
        <w:rPr>
          <w:rFonts w:ascii="Garamond" w:hAnsi="Garamond" w:cstheme="minorHAnsi"/>
        </w:rPr>
      </w:pPr>
      <w:r w:rsidRPr="006B6B51">
        <w:rPr>
          <w:rFonts w:ascii="Garamond" w:hAnsi="Garamond" w:cstheme="minorHAnsi"/>
        </w:rPr>
        <w:t xml:space="preserve">Les personnes morales de droit public, (communes, centres communaux d’action sociale, </w:t>
      </w:r>
      <w:r w:rsidR="00C04831" w:rsidRPr="006B6B51">
        <w:rPr>
          <w:rFonts w:ascii="Garamond" w:hAnsi="Garamond" w:cstheme="minorHAnsi"/>
        </w:rPr>
        <w:t>CLIC,</w:t>
      </w:r>
      <w:r w:rsidR="00C75DA3" w:rsidRPr="006B6B51">
        <w:rPr>
          <w:rFonts w:ascii="Garamond" w:hAnsi="Garamond" w:cstheme="minorHAnsi"/>
        </w:rPr>
        <w:t xml:space="preserve"> </w:t>
      </w:r>
      <w:r w:rsidRPr="006B6B51">
        <w:rPr>
          <w:rFonts w:ascii="Garamond" w:hAnsi="Garamond" w:cstheme="minorHAnsi"/>
        </w:rPr>
        <w:t xml:space="preserve">centres de recherche, </w:t>
      </w:r>
      <w:r w:rsidR="00BF6E2B" w:rsidRPr="006B6B51">
        <w:rPr>
          <w:rFonts w:ascii="Garamond" w:hAnsi="Garamond" w:cstheme="minorHAnsi"/>
        </w:rPr>
        <w:t>hôpitaux</w:t>
      </w:r>
      <w:r w:rsidRPr="006B6B51">
        <w:rPr>
          <w:rFonts w:ascii="Garamond" w:hAnsi="Garamond" w:cstheme="minorHAnsi"/>
        </w:rPr>
        <w:t>…)</w:t>
      </w:r>
      <w:r w:rsidR="00F72AB1" w:rsidRPr="006B6B51">
        <w:rPr>
          <w:rFonts w:ascii="Garamond" w:hAnsi="Garamond" w:cstheme="minorHAnsi"/>
        </w:rPr>
        <w:t> ;</w:t>
      </w:r>
      <w:r w:rsidRPr="006B6B51">
        <w:rPr>
          <w:rFonts w:ascii="Garamond" w:hAnsi="Garamond" w:cstheme="minorHAnsi"/>
        </w:rPr>
        <w:t xml:space="preserve"> les personnes morales de droit privé (association</w:t>
      </w:r>
      <w:r w:rsidR="00C04831" w:rsidRPr="006B6B51">
        <w:rPr>
          <w:rFonts w:ascii="Garamond" w:hAnsi="Garamond" w:cstheme="minorHAnsi"/>
        </w:rPr>
        <w:t>s</w:t>
      </w:r>
      <w:r w:rsidRPr="006B6B51">
        <w:rPr>
          <w:rFonts w:ascii="Garamond" w:hAnsi="Garamond" w:cstheme="minorHAnsi"/>
        </w:rPr>
        <w:t>, entreprise</w:t>
      </w:r>
      <w:r w:rsidR="00C04831" w:rsidRPr="006B6B51">
        <w:rPr>
          <w:rFonts w:ascii="Garamond" w:hAnsi="Garamond" w:cstheme="minorHAnsi"/>
        </w:rPr>
        <w:t>s</w:t>
      </w:r>
      <w:r w:rsidRPr="006B6B51">
        <w:rPr>
          <w:rFonts w:ascii="Garamond" w:hAnsi="Garamond" w:cstheme="minorHAnsi"/>
        </w:rPr>
        <w:t>,…)</w:t>
      </w:r>
      <w:r w:rsidR="00F72AB1" w:rsidRPr="006B6B51">
        <w:rPr>
          <w:rFonts w:ascii="Garamond" w:hAnsi="Garamond" w:cstheme="minorHAnsi"/>
        </w:rPr>
        <w:t xml:space="preserve"> ; citoyens et  étudiants </w:t>
      </w:r>
      <w:r w:rsidRPr="006B6B51">
        <w:rPr>
          <w:rFonts w:ascii="Garamond" w:hAnsi="Garamond" w:cstheme="minorHAnsi"/>
        </w:rPr>
        <w:t>peuvent candidater à l’appel à projet.</w:t>
      </w:r>
    </w:p>
    <w:p w14:paraId="76FA59FA" w14:textId="77777777" w:rsidR="00BF6E2B" w:rsidRPr="006B6B51" w:rsidRDefault="00BF6E2B" w:rsidP="00133F08">
      <w:pPr>
        <w:rPr>
          <w:rFonts w:ascii="Garamond" w:hAnsi="Garamond" w:cstheme="minorHAnsi"/>
        </w:rPr>
      </w:pPr>
    </w:p>
    <w:p w14:paraId="7D5AB730" w14:textId="77777777" w:rsidR="00F72AB1" w:rsidRPr="006B6B51" w:rsidRDefault="00F72AB1" w:rsidP="00995253">
      <w:pPr>
        <w:pStyle w:val="Titre2"/>
        <w:numPr>
          <w:ilvl w:val="2"/>
          <w:numId w:val="1"/>
        </w:numPr>
        <w:ind w:hanging="371"/>
        <w:rPr>
          <w:rFonts w:ascii="Garamond" w:hAnsi="Garamond" w:cstheme="minorHAnsi"/>
          <w:sz w:val="22"/>
          <w:szCs w:val="22"/>
        </w:rPr>
      </w:pPr>
      <w:bookmarkStart w:id="13" w:name="_Toc2326492"/>
      <w:r w:rsidRPr="006B6B51">
        <w:rPr>
          <w:rFonts w:ascii="Garamond" w:hAnsi="Garamond" w:cstheme="minorHAnsi"/>
          <w:sz w:val="22"/>
          <w:szCs w:val="22"/>
        </w:rPr>
        <w:t>Critères d’éligibilité</w:t>
      </w:r>
      <w:bookmarkEnd w:id="13"/>
    </w:p>
    <w:p w14:paraId="1C32B7E2" w14:textId="77777777" w:rsidR="00D17B62" w:rsidRPr="006B6B51" w:rsidRDefault="00D17B62" w:rsidP="00D17B62">
      <w:pPr>
        <w:rPr>
          <w:rFonts w:ascii="Garamond" w:hAnsi="Garamond"/>
        </w:rPr>
      </w:pPr>
    </w:p>
    <w:p w14:paraId="60C50DED" w14:textId="77777777" w:rsidR="00C04831" w:rsidRPr="006B6B51" w:rsidRDefault="00F72AB1" w:rsidP="00F72AB1">
      <w:pPr>
        <w:rPr>
          <w:rFonts w:ascii="Garamond" w:hAnsi="Garamond" w:cstheme="minorHAnsi"/>
        </w:rPr>
      </w:pPr>
      <w:r w:rsidRPr="006B6B51">
        <w:rPr>
          <w:rFonts w:ascii="Garamond" w:hAnsi="Garamond" w:cstheme="minorHAnsi"/>
        </w:rPr>
        <w:t>Le territoire de mise en œuvre devra obligatoirement être le département des Hauts-de-Seine et/ou le département des Yvelines.</w:t>
      </w:r>
      <w:r w:rsidR="00951725" w:rsidRPr="006B6B51">
        <w:rPr>
          <w:rFonts w:ascii="Garamond" w:hAnsi="Garamond" w:cstheme="minorHAnsi"/>
        </w:rPr>
        <w:t xml:space="preserve"> Pour tout projet </w:t>
      </w:r>
      <w:r w:rsidR="00C04831" w:rsidRPr="006B6B51">
        <w:rPr>
          <w:rFonts w:ascii="Garamond" w:hAnsi="Garamond" w:cstheme="minorHAnsi"/>
        </w:rPr>
        <w:t xml:space="preserve">déposé pour un territoire défini sur l’un des </w:t>
      </w:r>
      <w:r w:rsidR="00232E76" w:rsidRPr="006B6B51">
        <w:rPr>
          <w:rFonts w:ascii="Garamond" w:hAnsi="Garamond" w:cstheme="minorHAnsi"/>
        </w:rPr>
        <w:t xml:space="preserve">deux </w:t>
      </w:r>
      <w:r w:rsidR="00C04831" w:rsidRPr="006B6B51">
        <w:rPr>
          <w:rFonts w:ascii="Garamond" w:hAnsi="Garamond" w:cstheme="minorHAnsi"/>
        </w:rPr>
        <w:t>départements, sa capacité à être transposé et reproductible sur d’autres territoires sera un point essentiel à mettre en valeur.</w:t>
      </w:r>
    </w:p>
    <w:p w14:paraId="02B4191D" w14:textId="77777777" w:rsidR="00C04831" w:rsidRPr="006B6B51" w:rsidRDefault="00F72AB1" w:rsidP="00F72AB1">
      <w:pPr>
        <w:rPr>
          <w:rFonts w:ascii="Garamond" w:hAnsi="Garamond" w:cstheme="minorHAnsi"/>
        </w:rPr>
      </w:pPr>
      <w:r w:rsidRPr="006B6B51">
        <w:rPr>
          <w:rFonts w:ascii="Garamond" w:hAnsi="Garamond" w:cstheme="minorHAnsi"/>
        </w:rPr>
        <w:t>Les demandes de financem</w:t>
      </w:r>
      <w:r w:rsidR="00657BBD" w:rsidRPr="006B6B51">
        <w:rPr>
          <w:rFonts w:ascii="Garamond" w:hAnsi="Garamond" w:cstheme="minorHAnsi"/>
        </w:rPr>
        <w:t>ent ne pourront concerner</w:t>
      </w:r>
      <w:r w:rsidR="00C04831" w:rsidRPr="006B6B51">
        <w:rPr>
          <w:rFonts w:ascii="Garamond" w:hAnsi="Garamond" w:cstheme="minorHAnsi"/>
        </w:rPr>
        <w:t> :</w:t>
      </w:r>
    </w:p>
    <w:p w14:paraId="5234231C" w14:textId="77777777" w:rsidR="00C04831" w:rsidRPr="006B6B51" w:rsidRDefault="00C04831" w:rsidP="00F72AB1">
      <w:pPr>
        <w:rPr>
          <w:rFonts w:ascii="Garamond" w:hAnsi="Garamond" w:cstheme="minorHAnsi"/>
        </w:rPr>
      </w:pPr>
      <w:r w:rsidRPr="006B6B51">
        <w:rPr>
          <w:rFonts w:ascii="Garamond" w:hAnsi="Garamond" w:cstheme="minorHAnsi"/>
        </w:rPr>
        <w:t>-</w:t>
      </w:r>
      <w:r w:rsidR="00657BBD" w:rsidRPr="006B6B51">
        <w:rPr>
          <w:rFonts w:ascii="Garamond" w:hAnsi="Garamond" w:cstheme="minorHAnsi"/>
        </w:rPr>
        <w:t xml:space="preserve"> ni</w:t>
      </w:r>
      <w:r w:rsidR="00F72AB1" w:rsidRPr="006B6B51">
        <w:rPr>
          <w:rFonts w:ascii="Garamond" w:hAnsi="Garamond" w:cstheme="minorHAnsi"/>
        </w:rPr>
        <w:t xml:space="preserve"> l’investissement, </w:t>
      </w:r>
    </w:p>
    <w:p w14:paraId="3533BE25" w14:textId="77777777" w:rsidR="00C04831" w:rsidRPr="006B6B51" w:rsidRDefault="00C04831" w:rsidP="00F72AB1">
      <w:pPr>
        <w:rPr>
          <w:rFonts w:ascii="Garamond" w:hAnsi="Garamond" w:cstheme="minorHAnsi"/>
        </w:rPr>
      </w:pPr>
      <w:r w:rsidRPr="006B6B51">
        <w:rPr>
          <w:rFonts w:ascii="Garamond" w:hAnsi="Garamond" w:cstheme="minorHAnsi"/>
        </w:rPr>
        <w:t xml:space="preserve">- </w:t>
      </w:r>
      <w:r w:rsidR="00F72AB1" w:rsidRPr="006B6B51">
        <w:rPr>
          <w:rFonts w:ascii="Garamond" w:hAnsi="Garamond" w:cstheme="minorHAnsi"/>
        </w:rPr>
        <w:t xml:space="preserve">ni les actions à </w:t>
      </w:r>
      <w:r w:rsidR="00657BBD" w:rsidRPr="006B6B51">
        <w:rPr>
          <w:rFonts w:ascii="Garamond" w:hAnsi="Garamond" w:cstheme="minorHAnsi"/>
        </w:rPr>
        <w:t xml:space="preserve">visée exclusivement commerciale, </w:t>
      </w:r>
    </w:p>
    <w:p w14:paraId="1D125B2C" w14:textId="77777777" w:rsidR="00C04831" w:rsidRPr="006B6B51" w:rsidRDefault="00C04831" w:rsidP="00F72AB1">
      <w:pPr>
        <w:rPr>
          <w:rFonts w:ascii="Garamond" w:hAnsi="Garamond" w:cstheme="minorHAnsi"/>
        </w:rPr>
      </w:pPr>
      <w:r w:rsidRPr="006B6B51">
        <w:rPr>
          <w:rFonts w:ascii="Garamond" w:hAnsi="Garamond" w:cstheme="minorHAnsi"/>
        </w:rPr>
        <w:t xml:space="preserve">- </w:t>
      </w:r>
      <w:r w:rsidR="00657BBD" w:rsidRPr="006B6B51">
        <w:rPr>
          <w:rFonts w:ascii="Garamond" w:hAnsi="Garamond" w:cstheme="minorHAnsi"/>
        </w:rPr>
        <w:t xml:space="preserve">ni les </w:t>
      </w:r>
      <w:r w:rsidR="00D0207F" w:rsidRPr="006B6B51">
        <w:rPr>
          <w:rFonts w:ascii="Garamond" w:hAnsi="Garamond" w:cstheme="minorHAnsi"/>
        </w:rPr>
        <w:t>aides au développement d’entreprises</w:t>
      </w:r>
      <w:r w:rsidRPr="006B6B51">
        <w:rPr>
          <w:rFonts w:ascii="Garamond" w:hAnsi="Garamond" w:cstheme="minorHAnsi"/>
        </w:rPr>
        <w:t xml:space="preserve"> via une levée de fonds.</w:t>
      </w:r>
    </w:p>
    <w:p w14:paraId="644076A2" w14:textId="77777777" w:rsidR="00D0207F" w:rsidRPr="006B6B51" w:rsidRDefault="00D0207F" w:rsidP="00F72AB1">
      <w:pPr>
        <w:rPr>
          <w:rFonts w:ascii="Garamond" w:hAnsi="Garamond" w:cstheme="minorHAnsi"/>
        </w:rPr>
      </w:pPr>
    </w:p>
    <w:p w14:paraId="181401EA" w14:textId="77777777" w:rsidR="00995253" w:rsidRPr="006B6B51" w:rsidRDefault="00F72AB1" w:rsidP="00995253">
      <w:pPr>
        <w:pStyle w:val="Titre2"/>
        <w:numPr>
          <w:ilvl w:val="1"/>
          <w:numId w:val="1"/>
        </w:numPr>
        <w:rPr>
          <w:rFonts w:ascii="Garamond" w:hAnsi="Garamond" w:cstheme="minorHAnsi"/>
          <w:sz w:val="22"/>
          <w:szCs w:val="22"/>
        </w:rPr>
      </w:pPr>
      <w:bookmarkStart w:id="14" w:name="_Toc2326493"/>
      <w:r w:rsidRPr="006B6B51">
        <w:rPr>
          <w:rFonts w:ascii="Garamond" w:hAnsi="Garamond" w:cstheme="minorHAnsi"/>
          <w:sz w:val="22"/>
          <w:szCs w:val="22"/>
        </w:rPr>
        <w:t xml:space="preserve">Modalités </w:t>
      </w:r>
      <w:r w:rsidR="00D0207F" w:rsidRPr="006B6B51">
        <w:rPr>
          <w:rFonts w:ascii="Garamond" w:hAnsi="Garamond" w:cstheme="minorHAnsi"/>
          <w:sz w:val="22"/>
          <w:szCs w:val="22"/>
        </w:rPr>
        <w:t>de sélection</w:t>
      </w:r>
      <w:bookmarkEnd w:id="14"/>
      <w:r w:rsidR="00D0207F" w:rsidRPr="006B6B51">
        <w:rPr>
          <w:rFonts w:ascii="Garamond" w:hAnsi="Garamond" w:cstheme="minorHAnsi"/>
          <w:sz w:val="22"/>
          <w:szCs w:val="22"/>
        </w:rPr>
        <w:t xml:space="preserve"> </w:t>
      </w:r>
    </w:p>
    <w:p w14:paraId="529A3869" w14:textId="77777777" w:rsidR="00995253" w:rsidRPr="006B6B51" w:rsidRDefault="00995253" w:rsidP="00995253">
      <w:pPr>
        <w:pStyle w:val="Titre2"/>
        <w:numPr>
          <w:ilvl w:val="0"/>
          <w:numId w:val="0"/>
        </w:numPr>
        <w:ind w:left="720"/>
        <w:rPr>
          <w:rFonts w:ascii="Garamond" w:hAnsi="Garamond" w:cstheme="minorHAnsi"/>
          <w:sz w:val="22"/>
          <w:szCs w:val="22"/>
        </w:rPr>
      </w:pPr>
    </w:p>
    <w:p w14:paraId="0172FC26" w14:textId="77777777" w:rsidR="00D43B92" w:rsidRPr="006B6B51" w:rsidRDefault="00D0207F" w:rsidP="00995253">
      <w:pPr>
        <w:pStyle w:val="Titre2"/>
        <w:numPr>
          <w:ilvl w:val="2"/>
          <w:numId w:val="1"/>
        </w:numPr>
        <w:ind w:hanging="371"/>
        <w:rPr>
          <w:rFonts w:ascii="Garamond" w:hAnsi="Garamond" w:cstheme="minorHAnsi"/>
          <w:sz w:val="22"/>
          <w:szCs w:val="22"/>
        </w:rPr>
      </w:pPr>
      <w:bookmarkStart w:id="15" w:name="_Toc2326494"/>
      <w:r w:rsidRPr="006B6B51">
        <w:rPr>
          <w:rFonts w:ascii="Garamond" w:hAnsi="Garamond" w:cstheme="minorHAnsi"/>
          <w:sz w:val="22"/>
          <w:szCs w:val="22"/>
        </w:rPr>
        <w:t>Critères</w:t>
      </w:r>
      <w:r w:rsidR="00D43B92" w:rsidRPr="006B6B51">
        <w:rPr>
          <w:rFonts w:ascii="Garamond" w:hAnsi="Garamond" w:cstheme="minorHAnsi"/>
          <w:sz w:val="22"/>
          <w:szCs w:val="22"/>
        </w:rPr>
        <w:t xml:space="preserve"> de sélection</w:t>
      </w:r>
      <w:bookmarkEnd w:id="15"/>
      <w:r w:rsidR="00D43B92" w:rsidRPr="006B6B51">
        <w:rPr>
          <w:rFonts w:ascii="Garamond" w:hAnsi="Garamond" w:cstheme="minorHAnsi"/>
          <w:sz w:val="22"/>
          <w:szCs w:val="22"/>
        </w:rPr>
        <w:t xml:space="preserve"> </w:t>
      </w:r>
    </w:p>
    <w:p w14:paraId="333FF5C7" w14:textId="77777777" w:rsidR="00BF6E2B" w:rsidRPr="006B6B51" w:rsidRDefault="00BF6E2B" w:rsidP="00BF6E2B">
      <w:pPr>
        <w:rPr>
          <w:rFonts w:ascii="Garamond" w:hAnsi="Garamond"/>
        </w:rPr>
      </w:pPr>
    </w:p>
    <w:p w14:paraId="37C4A112" w14:textId="77777777" w:rsidR="00D0207F" w:rsidRPr="006B6B51" w:rsidRDefault="00D0207F" w:rsidP="00D0207F">
      <w:pPr>
        <w:rPr>
          <w:rFonts w:ascii="Garamond" w:hAnsi="Garamond" w:cstheme="minorHAnsi"/>
        </w:rPr>
      </w:pPr>
      <w:r w:rsidRPr="006B6B51">
        <w:rPr>
          <w:rFonts w:ascii="Garamond" w:hAnsi="Garamond" w:cstheme="minorHAnsi"/>
        </w:rPr>
        <w:t>Les critères intervenant pour la sélection des projets résident dans :</w:t>
      </w:r>
    </w:p>
    <w:p w14:paraId="0D64035A" w14:textId="77777777" w:rsidR="00D0207F" w:rsidRPr="006B6B51" w:rsidRDefault="00D0207F" w:rsidP="00995253">
      <w:pPr>
        <w:pStyle w:val="Paragraphedeliste"/>
        <w:numPr>
          <w:ilvl w:val="0"/>
          <w:numId w:val="6"/>
        </w:numPr>
        <w:rPr>
          <w:rFonts w:ascii="Garamond" w:hAnsi="Garamond" w:cstheme="minorHAnsi"/>
        </w:rPr>
      </w:pPr>
      <w:r w:rsidRPr="006B6B51">
        <w:rPr>
          <w:rFonts w:ascii="Garamond" w:hAnsi="Garamond" w:cstheme="minorHAnsi"/>
        </w:rPr>
        <w:lastRenderedPageBreak/>
        <w:t xml:space="preserve">l’inscription de la </w:t>
      </w:r>
      <w:r w:rsidR="00977EFB" w:rsidRPr="006B6B51">
        <w:rPr>
          <w:rFonts w:ascii="Garamond" w:hAnsi="Garamond" w:cstheme="minorHAnsi"/>
        </w:rPr>
        <w:t>prévention de la perte d’autonomie au cœur du projet ;</w:t>
      </w:r>
    </w:p>
    <w:p w14:paraId="50E13A5C" w14:textId="77777777" w:rsidR="00977EFB" w:rsidRPr="006B6B51" w:rsidRDefault="001D3250" w:rsidP="00995253">
      <w:pPr>
        <w:pStyle w:val="Paragraphedeliste"/>
        <w:numPr>
          <w:ilvl w:val="0"/>
          <w:numId w:val="6"/>
        </w:numPr>
        <w:rPr>
          <w:rFonts w:ascii="Garamond" w:hAnsi="Garamond" w:cstheme="minorHAnsi"/>
        </w:rPr>
      </w:pPr>
      <w:r w:rsidRPr="006B6B51">
        <w:rPr>
          <w:rFonts w:ascii="Garamond" w:hAnsi="Garamond" w:cstheme="minorHAnsi"/>
        </w:rPr>
        <w:t xml:space="preserve">la capacité du projet à être </w:t>
      </w:r>
      <w:proofErr w:type="spellStart"/>
      <w:r w:rsidRPr="006B6B51">
        <w:rPr>
          <w:rFonts w:ascii="Garamond" w:hAnsi="Garamond" w:cstheme="minorHAnsi"/>
        </w:rPr>
        <w:t>co-porté</w:t>
      </w:r>
      <w:proofErr w:type="spellEnd"/>
      <w:r w:rsidRPr="006B6B51">
        <w:rPr>
          <w:rFonts w:ascii="Garamond" w:hAnsi="Garamond" w:cstheme="minorHAnsi"/>
        </w:rPr>
        <w:t xml:space="preserve"> </w:t>
      </w:r>
      <w:r w:rsidR="00977EFB" w:rsidRPr="006B6B51">
        <w:rPr>
          <w:rFonts w:ascii="Garamond" w:hAnsi="Garamond" w:cstheme="minorHAnsi"/>
        </w:rPr>
        <w:t>mobilisant plusieurs acteurs et mettant en évidence une mutualisation de compétences ;</w:t>
      </w:r>
    </w:p>
    <w:p w14:paraId="6B88AAC5" w14:textId="77777777" w:rsidR="00005A0D" w:rsidRPr="006B6B51" w:rsidRDefault="00005A0D" w:rsidP="00995253">
      <w:pPr>
        <w:pStyle w:val="Paragraphedeliste"/>
        <w:numPr>
          <w:ilvl w:val="0"/>
          <w:numId w:val="6"/>
        </w:numPr>
        <w:rPr>
          <w:rFonts w:ascii="Garamond" w:hAnsi="Garamond" w:cstheme="minorHAnsi"/>
        </w:rPr>
      </w:pPr>
      <w:r w:rsidRPr="006B6B51">
        <w:rPr>
          <w:rFonts w:ascii="Garamond" w:hAnsi="Garamond" w:cstheme="minorHAnsi"/>
        </w:rPr>
        <w:t>une couverture territoriale permettant de toucher un maximum de public ;</w:t>
      </w:r>
    </w:p>
    <w:p w14:paraId="750C2F1D" w14:textId="77777777" w:rsidR="00977EFB" w:rsidRPr="006B6B51" w:rsidRDefault="00977EFB" w:rsidP="00995253">
      <w:pPr>
        <w:pStyle w:val="Paragraphedeliste"/>
        <w:numPr>
          <w:ilvl w:val="0"/>
          <w:numId w:val="6"/>
        </w:numPr>
        <w:rPr>
          <w:rFonts w:ascii="Garamond" w:hAnsi="Garamond" w:cstheme="minorHAnsi"/>
        </w:rPr>
      </w:pPr>
      <w:r w:rsidRPr="006B6B51">
        <w:rPr>
          <w:rFonts w:ascii="Garamond" w:hAnsi="Garamond" w:cstheme="minorHAnsi"/>
        </w:rPr>
        <w:t xml:space="preserve">le respect du cadrage </w:t>
      </w:r>
      <w:r w:rsidR="00005A0D" w:rsidRPr="006B6B51">
        <w:rPr>
          <w:rFonts w:ascii="Garamond" w:hAnsi="Garamond" w:cstheme="minorHAnsi"/>
        </w:rPr>
        <w:t xml:space="preserve">du programme coordonné </w:t>
      </w:r>
      <w:r w:rsidRPr="006B6B51">
        <w:rPr>
          <w:rFonts w:ascii="Garamond" w:hAnsi="Garamond" w:cstheme="minorHAnsi"/>
        </w:rPr>
        <w:t>des conférences des financeurs</w:t>
      </w:r>
      <w:r w:rsidR="009F7FEF" w:rsidRPr="006B6B51">
        <w:rPr>
          <w:rFonts w:ascii="Garamond" w:hAnsi="Garamond" w:cstheme="minorHAnsi"/>
        </w:rPr>
        <w:t> ;</w:t>
      </w:r>
    </w:p>
    <w:p w14:paraId="6F786CEF" w14:textId="77777777" w:rsidR="000B2A10" w:rsidRPr="006B6B51" w:rsidRDefault="00977EFB" w:rsidP="00995253">
      <w:pPr>
        <w:pStyle w:val="Paragraphedeliste"/>
        <w:numPr>
          <w:ilvl w:val="0"/>
          <w:numId w:val="6"/>
        </w:numPr>
        <w:rPr>
          <w:rFonts w:ascii="Garamond" w:hAnsi="Garamond" w:cstheme="minorHAnsi"/>
        </w:rPr>
      </w:pPr>
      <w:r w:rsidRPr="006B6B51">
        <w:rPr>
          <w:rFonts w:ascii="Garamond" w:hAnsi="Garamond" w:cstheme="minorHAnsi"/>
        </w:rPr>
        <w:t xml:space="preserve">la capacité du projet à s’intégrer dans les outils et </w:t>
      </w:r>
      <w:r w:rsidR="00721E74" w:rsidRPr="006B6B51">
        <w:rPr>
          <w:rFonts w:ascii="Garamond" w:hAnsi="Garamond" w:cstheme="minorHAnsi"/>
        </w:rPr>
        <w:t>organisations</w:t>
      </w:r>
      <w:r w:rsidRPr="006B6B51">
        <w:rPr>
          <w:rFonts w:ascii="Garamond" w:hAnsi="Garamond" w:cstheme="minorHAnsi"/>
        </w:rPr>
        <w:t xml:space="preserve"> existant</w:t>
      </w:r>
      <w:r w:rsidR="00721E74" w:rsidRPr="006B6B51">
        <w:rPr>
          <w:rFonts w:ascii="Garamond" w:hAnsi="Garamond" w:cstheme="minorHAnsi"/>
        </w:rPr>
        <w:t>e</w:t>
      </w:r>
      <w:r w:rsidR="00792A3A" w:rsidRPr="006B6B51">
        <w:rPr>
          <w:rFonts w:ascii="Garamond" w:hAnsi="Garamond" w:cstheme="minorHAnsi"/>
        </w:rPr>
        <w:t>s ;</w:t>
      </w:r>
    </w:p>
    <w:p w14:paraId="79F80156" w14:textId="70C43A44" w:rsidR="009F7FEF" w:rsidRPr="006B6B51" w:rsidRDefault="00792A3A" w:rsidP="00995253">
      <w:pPr>
        <w:pStyle w:val="Paragraphedeliste"/>
        <w:numPr>
          <w:ilvl w:val="0"/>
          <w:numId w:val="6"/>
        </w:numPr>
        <w:rPr>
          <w:rFonts w:ascii="Garamond" w:hAnsi="Garamond" w:cstheme="minorHAnsi"/>
        </w:rPr>
      </w:pPr>
      <w:r w:rsidRPr="006B6B51">
        <w:rPr>
          <w:rFonts w:ascii="Garamond" w:hAnsi="Garamond" w:cstheme="minorHAnsi"/>
        </w:rPr>
        <w:t xml:space="preserve">la capacité du projet à atteindre une réponse structurante </w:t>
      </w:r>
      <w:r w:rsidR="00657BBD" w:rsidRPr="006B6B51">
        <w:rPr>
          <w:rFonts w:ascii="Garamond" w:hAnsi="Garamond" w:cstheme="minorHAnsi"/>
        </w:rPr>
        <w:t>ayant un impact en termes de synergie et de développement pour une communauté</w:t>
      </w:r>
      <w:r w:rsidR="00BF6E2B" w:rsidRPr="006B6B51">
        <w:rPr>
          <w:rFonts w:ascii="Garamond" w:hAnsi="Garamond" w:cstheme="minorHAnsi"/>
        </w:rPr>
        <w:t xml:space="preserve"> ou</w:t>
      </w:r>
      <w:r w:rsidR="002A1072" w:rsidRPr="006B6B51">
        <w:rPr>
          <w:rFonts w:ascii="Garamond" w:hAnsi="Garamond" w:cstheme="minorHAnsi"/>
        </w:rPr>
        <w:t xml:space="preserve"> un territoire.</w:t>
      </w:r>
    </w:p>
    <w:p w14:paraId="7259B107" w14:textId="2E8E65F7" w:rsidR="006B6B51" w:rsidRPr="006B6B51" w:rsidRDefault="00977EFB" w:rsidP="00D0207F">
      <w:pPr>
        <w:rPr>
          <w:rFonts w:ascii="Garamond" w:hAnsi="Garamond" w:cstheme="minorHAnsi"/>
        </w:rPr>
      </w:pPr>
      <w:r w:rsidRPr="006B6B51">
        <w:rPr>
          <w:rFonts w:ascii="Garamond" w:hAnsi="Garamond" w:cstheme="minorHAnsi"/>
        </w:rPr>
        <w:t xml:space="preserve">Les projets qui n’entrent pas directement dans les critères mais qui grâce à une mise en relation avec d’autres porteurs et l’accompagnement </w:t>
      </w:r>
      <w:r w:rsidR="00657BBD" w:rsidRPr="006B6B51">
        <w:rPr>
          <w:rFonts w:ascii="Garamond" w:hAnsi="Garamond" w:cstheme="minorHAnsi"/>
        </w:rPr>
        <w:t xml:space="preserve">proposé peuvent s’y conformer pourront être retenus </w:t>
      </w:r>
      <w:r w:rsidR="001D3250" w:rsidRPr="006B6B51">
        <w:rPr>
          <w:rFonts w:ascii="Garamond" w:hAnsi="Garamond" w:cstheme="minorHAnsi"/>
        </w:rPr>
        <w:t xml:space="preserve">à condition </w:t>
      </w:r>
      <w:r w:rsidR="00344E6F" w:rsidRPr="006B6B51">
        <w:rPr>
          <w:rFonts w:ascii="Garamond" w:hAnsi="Garamond" w:cstheme="minorHAnsi"/>
        </w:rPr>
        <w:t>d’accepter l’accompagnement et ses objectifs.</w:t>
      </w:r>
    </w:p>
    <w:tbl>
      <w:tblPr>
        <w:tblW w:w="9508" w:type="dxa"/>
        <w:tblInd w:w="55" w:type="dxa"/>
        <w:tblCellMar>
          <w:left w:w="70" w:type="dxa"/>
          <w:right w:w="70" w:type="dxa"/>
        </w:tblCellMar>
        <w:tblLook w:val="04A0" w:firstRow="1" w:lastRow="0" w:firstColumn="1" w:lastColumn="0" w:noHBand="0" w:noVBand="1"/>
      </w:tblPr>
      <w:tblGrid>
        <w:gridCol w:w="1653"/>
        <w:gridCol w:w="7335"/>
        <w:gridCol w:w="422"/>
        <w:gridCol w:w="493"/>
      </w:tblGrid>
      <w:tr w:rsidR="009F7FEF" w:rsidRPr="006B6B51" w14:paraId="7EEF8AB9" w14:textId="77777777" w:rsidTr="002A1072">
        <w:trPr>
          <w:trHeight w:val="426"/>
        </w:trPr>
        <w:tc>
          <w:tcPr>
            <w:tcW w:w="86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C05EDD"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 xml:space="preserve">Grille de critères et barème </w:t>
            </w:r>
          </w:p>
        </w:tc>
        <w:tc>
          <w:tcPr>
            <w:tcW w:w="907" w:type="dxa"/>
            <w:gridSpan w:val="2"/>
            <w:tcBorders>
              <w:top w:val="single" w:sz="8" w:space="0" w:color="auto"/>
              <w:left w:val="nil"/>
              <w:bottom w:val="single" w:sz="8" w:space="0" w:color="auto"/>
              <w:right w:val="single" w:sz="8" w:space="0" w:color="000000"/>
            </w:tcBorders>
            <w:shd w:val="clear" w:color="auto" w:fill="auto"/>
            <w:vAlign w:val="center"/>
            <w:hideMark/>
          </w:tcPr>
          <w:p w14:paraId="35043EF2" w14:textId="77777777" w:rsidR="009F7FEF" w:rsidRPr="002E5BE9" w:rsidRDefault="009F7FEF" w:rsidP="00165AB7">
            <w:pPr>
              <w:jc w:val="center"/>
              <w:rPr>
                <w:rFonts w:ascii="Garamond" w:hAnsi="Garamond" w:cstheme="minorHAnsi"/>
                <w:sz w:val="20"/>
              </w:rPr>
            </w:pPr>
            <w:r w:rsidRPr="002E5BE9">
              <w:rPr>
                <w:rFonts w:ascii="Garamond" w:hAnsi="Garamond" w:cstheme="minorHAnsi"/>
                <w:sz w:val="20"/>
              </w:rPr>
              <w:t> </w:t>
            </w:r>
          </w:p>
        </w:tc>
      </w:tr>
      <w:tr w:rsidR="009F7FEF" w:rsidRPr="006B6B51" w14:paraId="3640BFAC" w14:textId="77777777" w:rsidTr="002A1072">
        <w:trPr>
          <w:trHeight w:val="208"/>
        </w:trPr>
        <w:tc>
          <w:tcPr>
            <w:tcW w:w="1266" w:type="dxa"/>
            <w:tcBorders>
              <w:top w:val="nil"/>
              <w:left w:val="single" w:sz="8" w:space="0" w:color="auto"/>
              <w:bottom w:val="nil"/>
              <w:right w:val="single" w:sz="4" w:space="0" w:color="auto"/>
            </w:tcBorders>
            <w:shd w:val="clear" w:color="auto" w:fill="auto"/>
            <w:noWrap/>
            <w:vAlign w:val="center"/>
            <w:hideMark/>
          </w:tcPr>
          <w:p w14:paraId="46A9DFFB"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PRESENTATION</w:t>
            </w:r>
          </w:p>
        </w:tc>
        <w:tc>
          <w:tcPr>
            <w:tcW w:w="7335" w:type="dxa"/>
            <w:tcBorders>
              <w:top w:val="nil"/>
              <w:left w:val="nil"/>
              <w:bottom w:val="single" w:sz="4" w:space="0" w:color="auto"/>
              <w:right w:val="single" w:sz="4" w:space="0" w:color="auto"/>
            </w:tcBorders>
            <w:shd w:val="clear" w:color="auto" w:fill="auto"/>
            <w:noWrap/>
            <w:vAlign w:val="bottom"/>
            <w:hideMark/>
          </w:tcPr>
          <w:p w14:paraId="7E0274ED"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L'objet de l'organisme et le projet sont clairement présentés</w:t>
            </w:r>
          </w:p>
        </w:tc>
        <w:tc>
          <w:tcPr>
            <w:tcW w:w="414" w:type="dxa"/>
            <w:tcBorders>
              <w:top w:val="nil"/>
              <w:left w:val="nil"/>
              <w:bottom w:val="nil"/>
              <w:right w:val="nil"/>
            </w:tcBorders>
            <w:shd w:val="clear" w:color="auto" w:fill="auto"/>
            <w:noWrap/>
            <w:vAlign w:val="center"/>
            <w:hideMark/>
          </w:tcPr>
          <w:p w14:paraId="3F4C92A5"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tcBorders>
              <w:top w:val="nil"/>
              <w:left w:val="single" w:sz="4" w:space="0" w:color="auto"/>
              <w:bottom w:val="nil"/>
              <w:right w:val="single" w:sz="8" w:space="0" w:color="auto"/>
            </w:tcBorders>
            <w:shd w:val="clear" w:color="auto" w:fill="auto"/>
            <w:noWrap/>
            <w:vAlign w:val="center"/>
            <w:hideMark/>
          </w:tcPr>
          <w:p w14:paraId="77A2A92B"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r>
      <w:tr w:rsidR="009F7FEF" w:rsidRPr="006B6B51" w14:paraId="51EF8AC6" w14:textId="77777777" w:rsidTr="002A1072">
        <w:trPr>
          <w:trHeight w:val="322"/>
        </w:trPr>
        <w:tc>
          <w:tcPr>
            <w:tcW w:w="126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D05F66F"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 xml:space="preserve">PERTINENCE </w:t>
            </w:r>
          </w:p>
        </w:tc>
        <w:tc>
          <w:tcPr>
            <w:tcW w:w="7335" w:type="dxa"/>
            <w:tcBorders>
              <w:top w:val="single" w:sz="8" w:space="0" w:color="auto"/>
              <w:left w:val="nil"/>
              <w:bottom w:val="single" w:sz="4" w:space="0" w:color="auto"/>
              <w:right w:val="single" w:sz="4" w:space="0" w:color="auto"/>
            </w:tcBorders>
            <w:shd w:val="clear" w:color="auto" w:fill="auto"/>
            <w:noWrap/>
            <w:vAlign w:val="bottom"/>
            <w:hideMark/>
          </w:tcPr>
          <w:p w14:paraId="18CBEF12" w14:textId="5C685E64"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Le projet répond à des besoins diagnostiqués sur le territoire, voir</w:t>
            </w:r>
            <w:r w:rsidR="00616CCA" w:rsidRPr="002E5BE9">
              <w:rPr>
                <w:rFonts w:ascii="Garamond" w:hAnsi="Garamond" w:cstheme="minorHAnsi"/>
                <w:color w:val="000000"/>
                <w:sz w:val="20"/>
              </w:rPr>
              <w:t>e</w:t>
            </w:r>
            <w:r w:rsidRPr="002E5BE9">
              <w:rPr>
                <w:rFonts w:ascii="Garamond" w:hAnsi="Garamond" w:cstheme="minorHAnsi"/>
                <w:color w:val="000000"/>
                <w:sz w:val="20"/>
              </w:rPr>
              <w:t xml:space="preserve"> peu ou mal couverts</w:t>
            </w:r>
          </w:p>
        </w:tc>
        <w:tc>
          <w:tcPr>
            <w:tcW w:w="414" w:type="dxa"/>
            <w:tcBorders>
              <w:top w:val="single" w:sz="8" w:space="0" w:color="auto"/>
              <w:left w:val="nil"/>
              <w:bottom w:val="single" w:sz="4" w:space="0" w:color="auto"/>
              <w:right w:val="nil"/>
            </w:tcBorders>
            <w:shd w:val="clear" w:color="auto" w:fill="auto"/>
            <w:noWrap/>
            <w:vAlign w:val="center"/>
            <w:hideMark/>
          </w:tcPr>
          <w:p w14:paraId="629F4AFF"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140D0117"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25</w:t>
            </w:r>
          </w:p>
        </w:tc>
      </w:tr>
      <w:tr w:rsidR="009F7FEF" w:rsidRPr="006B6B51" w14:paraId="06937E0B" w14:textId="77777777" w:rsidTr="002A1072">
        <w:trPr>
          <w:trHeight w:val="453"/>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6DABA957"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hideMark/>
          </w:tcPr>
          <w:p w14:paraId="6D8C5F85"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Les objectifs énoncés et le contexte d'intervention sont adaptés aux besoins, aux difficultés à anticiper.</w:t>
            </w:r>
          </w:p>
        </w:tc>
        <w:tc>
          <w:tcPr>
            <w:tcW w:w="414" w:type="dxa"/>
            <w:tcBorders>
              <w:top w:val="nil"/>
              <w:left w:val="nil"/>
              <w:bottom w:val="single" w:sz="4" w:space="0" w:color="auto"/>
              <w:right w:val="nil"/>
            </w:tcBorders>
            <w:shd w:val="clear" w:color="auto" w:fill="auto"/>
            <w:noWrap/>
            <w:vAlign w:val="center"/>
            <w:hideMark/>
          </w:tcPr>
          <w:p w14:paraId="3D396754" w14:textId="77777777" w:rsidR="009F7FEF" w:rsidRPr="002E5BE9" w:rsidRDefault="00721E74"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single" w:sz="8" w:space="0" w:color="auto"/>
              <w:left w:val="single" w:sz="4" w:space="0" w:color="auto"/>
              <w:bottom w:val="single" w:sz="8" w:space="0" w:color="000000"/>
              <w:right w:val="single" w:sz="8" w:space="0" w:color="auto"/>
            </w:tcBorders>
            <w:vAlign w:val="center"/>
            <w:hideMark/>
          </w:tcPr>
          <w:p w14:paraId="5E3DDEA6" w14:textId="77777777" w:rsidR="009F7FEF" w:rsidRPr="002E5BE9" w:rsidRDefault="009F7FEF" w:rsidP="00165AB7">
            <w:pPr>
              <w:rPr>
                <w:rFonts w:ascii="Garamond" w:hAnsi="Garamond" w:cstheme="minorHAnsi"/>
                <w:color w:val="000000"/>
                <w:sz w:val="20"/>
              </w:rPr>
            </w:pPr>
          </w:p>
        </w:tc>
      </w:tr>
      <w:tr w:rsidR="009F7FEF" w:rsidRPr="006B6B51" w14:paraId="43EF6AEE" w14:textId="77777777" w:rsidTr="002A1072">
        <w:trPr>
          <w:trHeight w:val="206"/>
        </w:trPr>
        <w:tc>
          <w:tcPr>
            <w:tcW w:w="1266" w:type="dxa"/>
            <w:vMerge/>
            <w:tcBorders>
              <w:top w:val="single" w:sz="8" w:space="0" w:color="auto"/>
              <w:left w:val="single" w:sz="8" w:space="0" w:color="auto"/>
              <w:bottom w:val="single" w:sz="8" w:space="0" w:color="000000"/>
              <w:right w:val="single" w:sz="4" w:space="0" w:color="auto"/>
            </w:tcBorders>
            <w:vAlign w:val="center"/>
          </w:tcPr>
          <w:p w14:paraId="63572983"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tcPr>
          <w:p w14:paraId="21E0654D"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Le projet répond à la définition de la prévention de la perte d’autonomie</w:t>
            </w:r>
          </w:p>
        </w:tc>
        <w:tc>
          <w:tcPr>
            <w:tcW w:w="414" w:type="dxa"/>
            <w:tcBorders>
              <w:top w:val="nil"/>
              <w:left w:val="nil"/>
              <w:bottom w:val="single" w:sz="4" w:space="0" w:color="auto"/>
              <w:right w:val="nil"/>
            </w:tcBorders>
            <w:shd w:val="clear" w:color="auto" w:fill="auto"/>
            <w:noWrap/>
            <w:vAlign w:val="center"/>
          </w:tcPr>
          <w:p w14:paraId="389B053A" w14:textId="573B667A" w:rsidR="009F7FEF" w:rsidRPr="002E5BE9" w:rsidRDefault="00FA5BFE" w:rsidP="00165AB7">
            <w:pPr>
              <w:jc w:val="center"/>
              <w:rPr>
                <w:rFonts w:ascii="Garamond" w:hAnsi="Garamond" w:cstheme="minorHAnsi"/>
                <w:color w:val="000000"/>
                <w:sz w:val="20"/>
              </w:rPr>
            </w:pPr>
            <w:r w:rsidRPr="002E5BE9">
              <w:rPr>
                <w:rFonts w:ascii="Garamond" w:hAnsi="Garamond" w:cstheme="minorHAnsi"/>
                <w:color w:val="000000"/>
                <w:sz w:val="20"/>
              </w:rPr>
              <w:t>10</w:t>
            </w:r>
          </w:p>
        </w:tc>
        <w:tc>
          <w:tcPr>
            <w:tcW w:w="493" w:type="dxa"/>
            <w:vMerge/>
            <w:tcBorders>
              <w:top w:val="single" w:sz="8" w:space="0" w:color="auto"/>
              <w:left w:val="single" w:sz="4" w:space="0" w:color="auto"/>
              <w:bottom w:val="single" w:sz="8" w:space="0" w:color="000000"/>
              <w:right w:val="single" w:sz="8" w:space="0" w:color="auto"/>
            </w:tcBorders>
            <w:vAlign w:val="center"/>
          </w:tcPr>
          <w:p w14:paraId="2E245C23" w14:textId="77777777" w:rsidR="009F7FEF" w:rsidRPr="002E5BE9" w:rsidRDefault="009F7FEF" w:rsidP="00165AB7">
            <w:pPr>
              <w:rPr>
                <w:rFonts w:ascii="Garamond" w:hAnsi="Garamond" w:cstheme="minorHAnsi"/>
                <w:color w:val="000000"/>
                <w:sz w:val="20"/>
              </w:rPr>
            </w:pPr>
          </w:p>
        </w:tc>
      </w:tr>
      <w:tr w:rsidR="009F7FEF" w:rsidRPr="006B6B51" w14:paraId="15589277" w14:textId="77777777" w:rsidTr="002A1072">
        <w:trPr>
          <w:trHeight w:val="206"/>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52E5F97D"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hideMark/>
          </w:tcPr>
          <w:p w14:paraId="5BA0FFC2"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 xml:space="preserve">Le lieu d'exécution de l'action est adapté </w:t>
            </w:r>
          </w:p>
        </w:tc>
        <w:tc>
          <w:tcPr>
            <w:tcW w:w="414" w:type="dxa"/>
            <w:tcBorders>
              <w:top w:val="nil"/>
              <w:left w:val="nil"/>
              <w:bottom w:val="single" w:sz="4" w:space="0" w:color="auto"/>
              <w:right w:val="nil"/>
            </w:tcBorders>
            <w:shd w:val="clear" w:color="auto" w:fill="auto"/>
            <w:noWrap/>
            <w:vAlign w:val="center"/>
            <w:hideMark/>
          </w:tcPr>
          <w:p w14:paraId="4A809D07"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single" w:sz="8" w:space="0" w:color="auto"/>
              <w:left w:val="single" w:sz="4" w:space="0" w:color="auto"/>
              <w:bottom w:val="single" w:sz="8" w:space="0" w:color="000000"/>
              <w:right w:val="single" w:sz="8" w:space="0" w:color="auto"/>
            </w:tcBorders>
            <w:vAlign w:val="center"/>
            <w:hideMark/>
          </w:tcPr>
          <w:p w14:paraId="4314F06E" w14:textId="77777777" w:rsidR="009F7FEF" w:rsidRPr="002E5BE9" w:rsidRDefault="009F7FEF" w:rsidP="00165AB7">
            <w:pPr>
              <w:rPr>
                <w:rFonts w:ascii="Garamond" w:hAnsi="Garamond" w:cstheme="minorHAnsi"/>
                <w:color w:val="000000"/>
                <w:sz w:val="20"/>
              </w:rPr>
            </w:pPr>
          </w:p>
        </w:tc>
      </w:tr>
      <w:tr w:rsidR="009F7FEF" w:rsidRPr="006B6B51" w14:paraId="6B72D7C2" w14:textId="77777777" w:rsidTr="002A1072">
        <w:trPr>
          <w:trHeight w:val="186"/>
        </w:trPr>
        <w:tc>
          <w:tcPr>
            <w:tcW w:w="12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CD65FAD"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EFFICACITE</w:t>
            </w:r>
          </w:p>
        </w:tc>
        <w:tc>
          <w:tcPr>
            <w:tcW w:w="7335" w:type="dxa"/>
            <w:tcBorders>
              <w:top w:val="nil"/>
              <w:left w:val="nil"/>
              <w:bottom w:val="single" w:sz="4" w:space="0" w:color="auto"/>
              <w:right w:val="single" w:sz="4" w:space="0" w:color="auto"/>
            </w:tcBorders>
            <w:shd w:val="clear" w:color="auto" w:fill="auto"/>
            <w:noWrap/>
            <w:vAlign w:val="bottom"/>
            <w:hideMark/>
          </w:tcPr>
          <w:p w14:paraId="17212A85" w14:textId="77777777" w:rsidR="009F7FEF" w:rsidRPr="002E5BE9" w:rsidRDefault="009F7FEF" w:rsidP="009F7FEF">
            <w:pPr>
              <w:rPr>
                <w:rFonts w:ascii="Garamond" w:hAnsi="Garamond" w:cstheme="minorHAnsi"/>
                <w:color w:val="000000"/>
                <w:sz w:val="20"/>
              </w:rPr>
            </w:pPr>
            <w:r w:rsidRPr="002E5BE9">
              <w:rPr>
                <w:rFonts w:ascii="Garamond" w:hAnsi="Garamond" w:cstheme="minorHAnsi"/>
                <w:color w:val="000000"/>
                <w:sz w:val="20"/>
              </w:rPr>
              <w:t>Le calendrier et la durée de l'action sont cohérents et cadrés avec perspective de pérennité</w:t>
            </w:r>
          </w:p>
        </w:tc>
        <w:tc>
          <w:tcPr>
            <w:tcW w:w="414" w:type="dxa"/>
            <w:tcBorders>
              <w:top w:val="nil"/>
              <w:left w:val="nil"/>
              <w:bottom w:val="single" w:sz="4" w:space="0" w:color="auto"/>
              <w:right w:val="single" w:sz="4" w:space="0" w:color="auto"/>
            </w:tcBorders>
            <w:shd w:val="clear" w:color="auto" w:fill="auto"/>
            <w:noWrap/>
            <w:vAlign w:val="center"/>
            <w:hideMark/>
          </w:tcPr>
          <w:p w14:paraId="6E68EC68"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A42458C"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15</w:t>
            </w:r>
          </w:p>
        </w:tc>
      </w:tr>
      <w:tr w:rsidR="009F7FEF" w:rsidRPr="006B6B51" w14:paraId="2FC7731F" w14:textId="77777777" w:rsidTr="002A1072">
        <w:trPr>
          <w:trHeight w:val="160"/>
        </w:trPr>
        <w:tc>
          <w:tcPr>
            <w:tcW w:w="1266" w:type="dxa"/>
            <w:vMerge/>
            <w:tcBorders>
              <w:top w:val="nil"/>
              <w:left w:val="single" w:sz="8" w:space="0" w:color="auto"/>
              <w:bottom w:val="single" w:sz="8" w:space="0" w:color="000000"/>
              <w:right w:val="single" w:sz="4" w:space="0" w:color="auto"/>
            </w:tcBorders>
            <w:vAlign w:val="center"/>
            <w:hideMark/>
          </w:tcPr>
          <w:p w14:paraId="2FCC2DC1"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hideMark/>
          </w:tcPr>
          <w:p w14:paraId="47041DC1"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La méthodologie et le déroulement dans le temps de l'action sont  adaptés</w:t>
            </w:r>
          </w:p>
        </w:tc>
        <w:tc>
          <w:tcPr>
            <w:tcW w:w="414" w:type="dxa"/>
            <w:tcBorders>
              <w:top w:val="nil"/>
              <w:left w:val="nil"/>
              <w:bottom w:val="single" w:sz="4" w:space="0" w:color="auto"/>
              <w:right w:val="single" w:sz="4" w:space="0" w:color="auto"/>
            </w:tcBorders>
            <w:shd w:val="clear" w:color="auto" w:fill="auto"/>
            <w:noWrap/>
            <w:vAlign w:val="center"/>
            <w:hideMark/>
          </w:tcPr>
          <w:p w14:paraId="03F64A63"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nil"/>
              <w:left w:val="single" w:sz="4" w:space="0" w:color="auto"/>
              <w:bottom w:val="single" w:sz="8" w:space="0" w:color="000000"/>
              <w:right w:val="single" w:sz="8" w:space="0" w:color="auto"/>
            </w:tcBorders>
            <w:vAlign w:val="center"/>
            <w:hideMark/>
          </w:tcPr>
          <w:p w14:paraId="1A906034" w14:textId="77777777" w:rsidR="009F7FEF" w:rsidRPr="002E5BE9" w:rsidRDefault="009F7FEF" w:rsidP="00165AB7">
            <w:pPr>
              <w:rPr>
                <w:rFonts w:ascii="Garamond" w:hAnsi="Garamond" w:cstheme="minorHAnsi"/>
                <w:color w:val="000000"/>
                <w:sz w:val="20"/>
              </w:rPr>
            </w:pPr>
          </w:p>
        </w:tc>
      </w:tr>
      <w:tr w:rsidR="009F7FEF" w:rsidRPr="006B6B51" w14:paraId="5AC5BF1C" w14:textId="77777777" w:rsidTr="002A1072">
        <w:trPr>
          <w:trHeight w:val="220"/>
        </w:trPr>
        <w:tc>
          <w:tcPr>
            <w:tcW w:w="1266" w:type="dxa"/>
            <w:vMerge/>
            <w:tcBorders>
              <w:top w:val="nil"/>
              <w:left w:val="single" w:sz="8" w:space="0" w:color="auto"/>
              <w:bottom w:val="single" w:sz="8" w:space="0" w:color="000000"/>
              <w:right w:val="single" w:sz="4" w:space="0" w:color="auto"/>
            </w:tcBorders>
            <w:vAlign w:val="center"/>
            <w:hideMark/>
          </w:tcPr>
          <w:p w14:paraId="11984A00"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8" w:space="0" w:color="auto"/>
              <w:right w:val="single" w:sz="4" w:space="0" w:color="auto"/>
            </w:tcBorders>
            <w:shd w:val="clear" w:color="auto" w:fill="auto"/>
            <w:noWrap/>
            <w:vAlign w:val="bottom"/>
            <w:hideMark/>
          </w:tcPr>
          <w:p w14:paraId="1A5B9E65"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 xml:space="preserve">Les indicateurs qualitatifs et quantitatifs sont pertinents </w:t>
            </w:r>
          </w:p>
        </w:tc>
        <w:tc>
          <w:tcPr>
            <w:tcW w:w="414" w:type="dxa"/>
            <w:tcBorders>
              <w:top w:val="nil"/>
              <w:left w:val="nil"/>
              <w:bottom w:val="single" w:sz="8" w:space="0" w:color="auto"/>
              <w:right w:val="single" w:sz="4" w:space="0" w:color="auto"/>
            </w:tcBorders>
            <w:shd w:val="clear" w:color="auto" w:fill="auto"/>
            <w:noWrap/>
            <w:vAlign w:val="center"/>
            <w:hideMark/>
          </w:tcPr>
          <w:p w14:paraId="47D84B9A"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nil"/>
              <w:left w:val="single" w:sz="4" w:space="0" w:color="auto"/>
              <w:bottom w:val="single" w:sz="8" w:space="0" w:color="000000"/>
              <w:right w:val="single" w:sz="8" w:space="0" w:color="auto"/>
            </w:tcBorders>
            <w:vAlign w:val="center"/>
            <w:hideMark/>
          </w:tcPr>
          <w:p w14:paraId="4FD934A7" w14:textId="77777777" w:rsidR="009F7FEF" w:rsidRPr="002E5BE9" w:rsidRDefault="009F7FEF" w:rsidP="00165AB7">
            <w:pPr>
              <w:rPr>
                <w:rFonts w:ascii="Garamond" w:hAnsi="Garamond" w:cstheme="minorHAnsi"/>
                <w:color w:val="000000"/>
                <w:sz w:val="20"/>
              </w:rPr>
            </w:pPr>
          </w:p>
        </w:tc>
      </w:tr>
      <w:tr w:rsidR="009F7FEF" w:rsidRPr="006B6B51" w14:paraId="46A1F1FC" w14:textId="77777777" w:rsidTr="002A1072">
        <w:trPr>
          <w:trHeight w:val="266"/>
        </w:trPr>
        <w:tc>
          <w:tcPr>
            <w:tcW w:w="12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418A35"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EFFICIENCE</w:t>
            </w:r>
          </w:p>
        </w:tc>
        <w:tc>
          <w:tcPr>
            <w:tcW w:w="7335" w:type="dxa"/>
            <w:tcBorders>
              <w:top w:val="nil"/>
              <w:left w:val="nil"/>
              <w:bottom w:val="single" w:sz="4" w:space="0" w:color="auto"/>
              <w:right w:val="single" w:sz="4" w:space="0" w:color="auto"/>
            </w:tcBorders>
            <w:shd w:val="clear" w:color="auto" w:fill="auto"/>
            <w:noWrap/>
            <w:vAlign w:val="bottom"/>
            <w:hideMark/>
          </w:tcPr>
          <w:p w14:paraId="406008D1"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 xml:space="preserve">Le budget du projet est clairement présenté et est conforme au dossier de candidature </w:t>
            </w:r>
          </w:p>
        </w:tc>
        <w:tc>
          <w:tcPr>
            <w:tcW w:w="414" w:type="dxa"/>
            <w:tcBorders>
              <w:top w:val="nil"/>
              <w:left w:val="nil"/>
              <w:bottom w:val="single" w:sz="4" w:space="0" w:color="auto"/>
              <w:right w:val="nil"/>
            </w:tcBorders>
            <w:shd w:val="clear" w:color="auto" w:fill="auto"/>
            <w:noWrap/>
            <w:vAlign w:val="center"/>
            <w:hideMark/>
          </w:tcPr>
          <w:p w14:paraId="3F3F139E"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1E05822"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15</w:t>
            </w:r>
          </w:p>
        </w:tc>
      </w:tr>
      <w:tr w:rsidR="009F7FEF" w:rsidRPr="006B6B51" w14:paraId="37B7C602" w14:textId="77777777" w:rsidTr="002A1072">
        <w:trPr>
          <w:trHeight w:val="242"/>
        </w:trPr>
        <w:tc>
          <w:tcPr>
            <w:tcW w:w="1266" w:type="dxa"/>
            <w:vMerge/>
            <w:tcBorders>
              <w:top w:val="nil"/>
              <w:left w:val="single" w:sz="8" w:space="0" w:color="auto"/>
              <w:bottom w:val="single" w:sz="8" w:space="0" w:color="000000"/>
              <w:right w:val="single" w:sz="4" w:space="0" w:color="auto"/>
            </w:tcBorders>
            <w:vAlign w:val="center"/>
            <w:hideMark/>
          </w:tcPr>
          <w:p w14:paraId="4DCD1E19"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hideMark/>
          </w:tcPr>
          <w:p w14:paraId="51087ED8"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 xml:space="preserve">Le budget est porté par plusieurs contributeurs </w:t>
            </w:r>
          </w:p>
        </w:tc>
        <w:tc>
          <w:tcPr>
            <w:tcW w:w="414" w:type="dxa"/>
            <w:tcBorders>
              <w:top w:val="nil"/>
              <w:left w:val="nil"/>
              <w:bottom w:val="single" w:sz="4" w:space="0" w:color="auto"/>
              <w:right w:val="nil"/>
            </w:tcBorders>
            <w:shd w:val="clear" w:color="auto" w:fill="auto"/>
            <w:noWrap/>
            <w:vAlign w:val="center"/>
            <w:hideMark/>
          </w:tcPr>
          <w:p w14:paraId="4DF71589"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nil"/>
              <w:left w:val="single" w:sz="4" w:space="0" w:color="auto"/>
              <w:bottom w:val="single" w:sz="8" w:space="0" w:color="000000"/>
              <w:right w:val="single" w:sz="8" w:space="0" w:color="auto"/>
            </w:tcBorders>
            <w:vAlign w:val="center"/>
            <w:hideMark/>
          </w:tcPr>
          <w:p w14:paraId="1B020648" w14:textId="77777777" w:rsidR="009F7FEF" w:rsidRPr="002E5BE9" w:rsidRDefault="009F7FEF" w:rsidP="00165AB7">
            <w:pPr>
              <w:rPr>
                <w:rFonts w:ascii="Garamond" w:hAnsi="Garamond" w:cstheme="minorHAnsi"/>
                <w:color w:val="000000"/>
                <w:sz w:val="20"/>
              </w:rPr>
            </w:pPr>
          </w:p>
        </w:tc>
      </w:tr>
      <w:tr w:rsidR="009F7FEF" w:rsidRPr="006B6B51" w14:paraId="2B28D10D" w14:textId="77777777" w:rsidTr="002A1072">
        <w:trPr>
          <w:trHeight w:val="274"/>
        </w:trPr>
        <w:tc>
          <w:tcPr>
            <w:tcW w:w="1266" w:type="dxa"/>
            <w:vMerge/>
            <w:tcBorders>
              <w:top w:val="nil"/>
              <w:left w:val="single" w:sz="8" w:space="0" w:color="auto"/>
              <w:bottom w:val="single" w:sz="8" w:space="0" w:color="000000"/>
              <w:right w:val="single" w:sz="4" w:space="0" w:color="auto"/>
            </w:tcBorders>
            <w:vAlign w:val="center"/>
            <w:hideMark/>
          </w:tcPr>
          <w:p w14:paraId="20340A01"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8" w:space="0" w:color="auto"/>
              <w:right w:val="single" w:sz="4" w:space="0" w:color="auto"/>
            </w:tcBorders>
            <w:shd w:val="clear" w:color="auto" w:fill="auto"/>
            <w:noWrap/>
            <w:vAlign w:val="bottom"/>
            <w:hideMark/>
          </w:tcPr>
          <w:p w14:paraId="07708296"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Le rapport coût/objectif est satisfaisant</w:t>
            </w:r>
          </w:p>
        </w:tc>
        <w:tc>
          <w:tcPr>
            <w:tcW w:w="414" w:type="dxa"/>
            <w:tcBorders>
              <w:top w:val="nil"/>
              <w:left w:val="nil"/>
              <w:bottom w:val="single" w:sz="8" w:space="0" w:color="auto"/>
              <w:right w:val="nil"/>
            </w:tcBorders>
            <w:shd w:val="clear" w:color="auto" w:fill="auto"/>
            <w:noWrap/>
            <w:vAlign w:val="center"/>
            <w:hideMark/>
          </w:tcPr>
          <w:p w14:paraId="024E6D24"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nil"/>
              <w:left w:val="single" w:sz="4" w:space="0" w:color="auto"/>
              <w:bottom w:val="single" w:sz="8" w:space="0" w:color="000000"/>
              <w:right w:val="single" w:sz="8" w:space="0" w:color="auto"/>
            </w:tcBorders>
            <w:vAlign w:val="center"/>
            <w:hideMark/>
          </w:tcPr>
          <w:p w14:paraId="15BDBDD8" w14:textId="77777777" w:rsidR="009F7FEF" w:rsidRPr="002E5BE9" w:rsidRDefault="009F7FEF" w:rsidP="00165AB7">
            <w:pPr>
              <w:rPr>
                <w:rFonts w:ascii="Garamond" w:hAnsi="Garamond" w:cstheme="minorHAnsi"/>
                <w:color w:val="000000"/>
                <w:sz w:val="20"/>
              </w:rPr>
            </w:pPr>
          </w:p>
        </w:tc>
      </w:tr>
      <w:tr w:rsidR="009F7FEF" w:rsidRPr="006B6B51" w14:paraId="1E901ECD" w14:textId="77777777" w:rsidTr="002A1072">
        <w:trPr>
          <w:trHeight w:val="250"/>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14:paraId="57E8B870"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INNOVATION ET PERENNITE</w:t>
            </w:r>
          </w:p>
        </w:tc>
        <w:tc>
          <w:tcPr>
            <w:tcW w:w="7335" w:type="dxa"/>
            <w:tcBorders>
              <w:top w:val="nil"/>
              <w:left w:val="nil"/>
              <w:bottom w:val="single" w:sz="4" w:space="0" w:color="auto"/>
              <w:right w:val="single" w:sz="4" w:space="0" w:color="auto"/>
            </w:tcBorders>
            <w:shd w:val="clear" w:color="auto" w:fill="auto"/>
            <w:noWrap/>
            <w:vAlign w:val="bottom"/>
            <w:hideMark/>
          </w:tcPr>
          <w:p w14:paraId="15F87CED" w14:textId="77777777" w:rsidR="009F7FEF" w:rsidRPr="002E5BE9" w:rsidRDefault="009F7FEF" w:rsidP="009F7FEF">
            <w:pPr>
              <w:rPr>
                <w:rFonts w:ascii="Garamond" w:hAnsi="Garamond" w:cstheme="minorHAnsi"/>
                <w:color w:val="000000"/>
                <w:sz w:val="20"/>
              </w:rPr>
            </w:pPr>
            <w:r w:rsidRPr="002E5BE9">
              <w:rPr>
                <w:rFonts w:ascii="Garamond" w:hAnsi="Garamond" w:cstheme="minorHAnsi"/>
                <w:color w:val="000000"/>
                <w:sz w:val="20"/>
              </w:rPr>
              <w:t>Le projet répond à un besoin de faire autrement et d’améliorer l’existant</w:t>
            </w:r>
          </w:p>
        </w:tc>
        <w:tc>
          <w:tcPr>
            <w:tcW w:w="414" w:type="dxa"/>
            <w:tcBorders>
              <w:top w:val="nil"/>
              <w:left w:val="nil"/>
              <w:bottom w:val="single" w:sz="4" w:space="0" w:color="auto"/>
              <w:right w:val="single" w:sz="4" w:space="0" w:color="auto"/>
            </w:tcBorders>
            <w:shd w:val="clear" w:color="auto" w:fill="auto"/>
            <w:noWrap/>
            <w:vAlign w:val="center"/>
            <w:hideMark/>
          </w:tcPr>
          <w:p w14:paraId="78DD5A93"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15</w:t>
            </w:r>
          </w:p>
        </w:tc>
        <w:tc>
          <w:tcPr>
            <w:tcW w:w="493"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E8A85F"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40</w:t>
            </w:r>
          </w:p>
        </w:tc>
      </w:tr>
      <w:tr w:rsidR="009F7FEF" w:rsidRPr="006B6B51" w14:paraId="2CA3B7C4" w14:textId="77777777" w:rsidTr="002A1072">
        <w:trPr>
          <w:trHeight w:val="268"/>
        </w:trPr>
        <w:tc>
          <w:tcPr>
            <w:tcW w:w="1266" w:type="dxa"/>
            <w:vMerge/>
            <w:tcBorders>
              <w:top w:val="nil"/>
              <w:left w:val="single" w:sz="8" w:space="0" w:color="auto"/>
              <w:bottom w:val="single" w:sz="8" w:space="0" w:color="000000"/>
              <w:right w:val="single" w:sz="4" w:space="0" w:color="auto"/>
            </w:tcBorders>
            <w:vAlign w:val="center"/>
            <w:hideMark/>
          </w:tcPr>
          <w:p w14:paraId="19FA7398"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hideMark/>
          </w:tcPr>
          <w:p w14:paraId="38314EE2"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Le projet prévoit la création ou la consolidation d'emplois de personnels compétents</w:t>
            </w:r>
          </w:p>
        </w:tc>
        <w:tc>
          <w:tcPr>
            <w:tcW w:w="414" w:type="dxa"/>
            <w:tcBorders>
              <w:top w:val="nil"/>
              <w:left w:val="nil"/>
              <w:bottom w:val="single" w:sz="4" w:space="0" w:color="auto"/>
              <w:right w:val="single" w:sz="4" w:space="0" w:color="auto"/>
            </w:tcBorders>
            <w:shd w:val="clear" w:color="auto" w:fill="auto"/>
            <w:noWrap/>
            <w:vAlign w:val="center"/>
            <w:hideMark/>
          </w:tcPr>
          <w:p w14:paraId="56AC0493" w14:textId="77777777" w:rsidR="009F7FEF" w:rsidRPr="002E5BE9" w:rsidRDefault="00721E74"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nil"/>
              <w:left w:val="single" w:sz="4" w:space="0" w:color="auto"/>
              <w:bottom w:val="single" w:sz="8" w:space="0" w:color="000000"/>
              <w:right w:val="single" w:sz="8" w:space="0" w:color="auto"/>
            </w:tcBorders>
            <w:vAlign w:val="center"/>
            <w:hideMark/>
          </w:tcPr>
          <w:p w14:paraId="20385864" w14:textId="77777777" w:rsidR="009F7FEF" w:rsidRPr="002E5BE9" w:rsidRDefault="009F7FEF" w:rsidP="00165AB7">
            <w:pPr>
              <w:rPr>
                <w:rFonts w:ascii="Garamond" w:hAnsi="Garamond" w:cstheme="minorHAnsi"/>
                <w:color w:val="000000"/>
                <w:sz w:val="20"/>
              </w:rPr>
            </w:pPr>
          </w:p>
        </w:tc>
      </w:tr>
      <w:tr w:rsidR="009F7FEF" w:rsidRPr="006B6B51" w14:paraId="793341C9" w14:textId="77777777" w:rsidTr="002A1072">
        <w:trPr>
          <w:trHeight w:val="272"/>
        </w:trPr>
        <w:tc>
          <w:tcPr>
            <w:tcW w:w="1266" w:type="dxa"/>
            <w:vMerge/>
            <w:tcBorders>
              <w:top w:val="nil"/>
              <w:left w:val="single" w:sz="8" w:space="0" w:color="auto"/>
              <w:bottom w:val="single" w:sz="8" w:space="0" w:color="000000"/>
              <w:right w:val="single" w:sz="4" w:space="0" w:color="auto"/>
            </w:tcBorders>
            <w:vAlign w:val="center"/>
            <w:hideMark/>
          </w:tcPr>
          <w:p w14:paraId="1FCD9FF7"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4" w:space="0" w:color="auto"/>
              <w:right w:val="single" w:sz="4" w:space="0" w:color="auto"/>
            </w:tcBorders>
            <w:shd w:val="clear" w:color="auto" w:fill="auto"/>
            <w:noWrap/>
            <w:vAlign w:val="bottom"/>
            <w:hideMark/>
          </w:tcPr>
          <w:p w14:paraId="2E7E7E54" w14:textId="77777777" w:rsidR="009F7FEF" w:rsidRPr="002E5BE9" w:rsidRDefault="009F7FEF" w:rsidP="00165AB7">
            <w:pPr>
              <w:rPr>
                <w:rFonts w:ascii="Garamond" w:hAnsi="Garamond" w:cstheme="minorHAnsi"/>
                <w:color w:val="000000"/>
                <w:sz w:val="20"/>
              </w:rPr>
            </w:pPr>
            <w:r w:rsidRPr="002E5BE9">
              <w:rPr>
                <w:rFonts w:ascii="Garamond" w:hAnsi="Garamond" w:cstheme="minorHAnsi"/>
                <w:color w:val="000000"/>
                <w:sz w:val="20"/>
              </w:rPr>
              <w:t>Le projet se réalise via la mutualisation de personnels compétents</w:t>
            </w:r>
          </w:p>
        </w:tc>
        <w:tc>
          <w:tcPr>
            <w:tcW w:w="414" w:type="dxa"/>
            <w:tcBorders>
              <w:top w:val="nil"/>
              <w:left w:val="nil"/>
              <w:bottom w:val="single" w:sz="4" w:space="0" w:color="auto"/>
              <w:right w:val="single" w:sz="4" w:space="0" w:color="auto"/>
            </w:tcBorders>
            <w:shd w:val="clear" w:color="auto" w:fill="auto"/>
            <w:noWrap/>
            <w:vAlign w:val="center"/>
            <w:hideMark/>
          </w:tcPr>
          <w:p w14:paraId="45C12DD0" w14:textId="77777777" w:rsidR="009F7FEF" w:rsidRPr="002E5BE9" w:rsidRDefault="00721E74" w:rsidP="00165AB7">
            <w:pPr>
              <w:jc w:val="center"/>
              <w:rPr>
                <w:rFonts w:ascii="Garamond" w:hAnsi="Garamond" w:cstheme="minorHAnsi"/>
                <w:color w:val="000000"/>
                <w:sz w:val="20"/>
              </w:rPr>
            </w:pPr>
            <w:r w:rsidRPr="002E5BE9">
              <w:rPr>
                <w:rFonts w:ascii="Garamond" w:hAnsi="Garamond" w:cstheme="minorHAnsi"/>
                <w:color w:val="000000"/>
                <w:sz w:val="20"/>
              </w:rPr>
              <w:t>5</w:t>
            </w:r>
          </w:p>
        </w:tc>
        <w:tc>
          <w:tcPr>
            <w:tcW w:w="493" w:type="dxa"/>
            <w:vMerge/>
            <w:tcBorders>
              <w:top w:val="nil"/>
              <w:left w:val="single" w:sz="4" w:space="0" w:color="auto"/>
              <w:bottom w:val="single" w:sz="8" w:space="0" w:color="000000"/>
              <w:right w:val="single" w:sz="8" w:space="0" w:color="auto"/>
            </w:tcBorders>
            <w:vAlign w:val="center"/>
            <w:hideMark/>
          </w:tcPr>
          <w:p w14:paraId="1F07617A" w14:textId="77777777" w:rsidR="009F7FEF" w:rsidRPr="002E5BE9" w:rsidRDefault="009F7FEF" w:rsidP="00165AB7">
            <w:pPr>
              <w:rPr>
                <w:rFonts w:ascii="Garamond" w:hAnsi="Garamond" w:cstheme="minorHAnsi"/>
                <w:color w:val="000000"/>
                <w:sz w:val="20"/>
              </w:rPr>
            </w:pPr>
          </w:p>
        </w:tc>
      </w:tr>
      <w:tr w:rsidR="009F7FEF" w:rsidRPr="006B6B51" w14:paraId="0CAD570C" w14:textId="77777777" w:rsidTr="002A1072">
        <w:trPr>
          <w:trHeight w:val="261"/>
        </w:trPr>
        <w:tc>
          <w:tcPr>
            <w:tcW w:w="1266" w:type="dxa"/>
            <w:vMerge/>
            <w:tcBorders>
              <w:top w:val="nil"/>
              <w:left w:val="single" w:sz="8" w:space="0" w:color="auto"/>
              <w:bottom w:val="single" w:sz="8" w:space="0" w:color="000000"/>
              <w:right w:val="single" w:sz="4" w:space="0" w:color="auto"/>
            </w:tcBorders>
            <w:vAlign w:val="center"/>
            <w:hideMark/>
          </w:tcPr>
          <w:p w14:paraId="3E6FAC43" w14:textId="77777777" w:rsidR="009F7FEF" w:rsidRPr="002E5BE9" w:rsidRDefault="009F7FEF" w:rsidP="00165AB7">
            <w:pPr>
              <w:rPr>
                <w:rFonts w:ascii="Garamond" w:hAnsi="Garamond" w:cstheme="minorHAnsi"/>
                <w:color w:val="000000"/>
                <w:sz w:val="20"/>
              </w:rPr>
            </w:pPr>
          </w:p>
        </w:tc>
        <w:tc>
          <w:tcPr>
            <w:tcW w:w="7335" w:type="dxa"/>
            <w:tcBorders>
              <w:top w:val="nil"/>
              <w:left w:val="nil"/>
              <w:bottom w:val="single" w:sz="8" w:space="0" w:color="auto"/>
              <w:right w:val="single" w:sz="4" w:space="0" w:color="auto"/>
            </w:tcBorders>
            <w:shd w:val="clear" w:color="auto" w:fill="auto"/>
            <w:noWrap/>
            <w:vAlign w:val="bottom"/>
            <w:hideMark/>
          </w:tcPr>
          <w:p w14:paraId="5D306413" w14:textId="77777777" w:rsidR="009F7FEF" w:rsidRPr="002E5BE9" w:rsidRDefault="009F7FEF" w:rsidP="009F7FEF">
            <w:pPr>
              <w:rPr>
                <w:rFonts w:ascii="Garamond" w:hAnsi="Garamond" w:cstheme="minorHAnsi"/>
                <w:color w:val="000000"/>
                <w:sz w:val="20"/>
              </w:rPr>
            </w:pPr>
            <w:r w:rsidRPr="002E5BE9">
              <w:rPr>
                <w:rFonts w:ascii="Garamond" w:hAnsi="Garamond" w:cstheme="minorHAnsi"/>
                <w:color w:val="000000"/>
                <w:sz w:val="20"/>
              </w:rPr>
              <w:t xml:space="preserve">Le projet est structurant  </w:t>
            </w:r>
          </w:p>
        </w:tc>
        <w:tc>
          <w:tcPr>
            <w:tcW w:w="414" w:type="dxa"/>
            <w:tcBorders>
              <w:top w:val="nil"/>
              <w:left w:val="nil"/>
              <w:bottom w:val="single" w:sz="8" w:space="0" w:color="auto"/>
              <w:right w:val="single" w:sz="4" w:space="0" w:color="auto"/>
            </w:tcBorders>
            <w:shd w:val="clear" w:color="auto" w:fill="auto"/>
            <w:noWrap/>
            <w:vAlign w:val="center"/>
            <w:hideMark/>
          </w:tcPr>
          <w:p w14:paraId="247C0FA9" w14:textId="77777777" w:rsidR="009F7FEF" w:rsidRPr="002E5BE9" w:rsidRDefault="00721E74" w:rsidP="00165AB7">
            <w:pPr>
              <w:jc w:val="center"/>
              <w:rPr>
                <w:rFonts w:ascii="Garamond" w:hAnsi="Garamond" w:cstheme="minorHAnsi"/>
                <w:color w:val="000000"/>
                <w:sz w:val="20"/>
              </w:rPr>
            </w:pPr>
            <w:r w:rsidRPr="002E5BE9">
              <w:rPr>
                <w:rFonts w:ascii="Garamond" w:hAnsi="Garamond" w:cstheme="minorHAnsi"/>
                <w:color w:val="000000"/>
                <w:sz w:val="20"/>
              </w:rPr>
              <w:t>15</w:t>
            </w:r>
          </w:p>
        </w:tc>
        <w:tc>
          <w:tcPr>
            <w:tcW w:w="493" w:type="dxa"/>
            <w:vMerge/>
            <w:tcBorders>
              <w:top w:val="nil"/>
              <w:left w:val="single" w:sz="4" w:space="0" w:color="auto"/>
              <w:bottom w:val="single" w:sz="8" w:space="0" w:color="000000"/>
              <w:right w:val="single" w:sz="8" w:space="0" w:color="auto"/>
            </w:tcBorders>
            <w:vAlign w:val="center"/>
            <w:hideMark/>
          </w:tcPr>
          <w:p w14:paraId="4671894E" w14:textId="77777777" w:rsidR="009F7FEF" w:rsidRPr="002E5BE9" w:rsidRDefault="009F7FEF" w:rsidP="00165AB7">
            <w:pPr>
              <w:rPr>
                <w:rFonts w:ascii="Garamond" w:hAnsi="Garamond" w:cstheme="minorHAnsi"/>
                <w:color w:val="000000"/>
                <w:sz w:val="20"/>
              </w:rPr>
            </w:pPr>
          </w:p>
        </w:tc>
      </w:tr>
      <w:tr w:rsidR="009F7FEF" w:rsidRPr="006B6B51" w14:paraId="20CB2300" w14:textId="77777777" w:rsidTr="002A1072">
        <w:trPr>
          <w:trHeight w:val="408"/>
        </w:trPr>
        <w:tc>
          <w:tcPr>
            <w:tcW w:w="86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F11570"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Note globale sur 100</w:t>
            </w:r>
          </w:p>
        </w:tc>
        <w:tc>
          <w:tcPr>
            <w:tcW w:w="414" w:type="dxa"/>
            <w:tcBorders>
              <w:top w:val="nil"/>
              <w:left w:val="nil"/>
              <w:bottom w:val="single" w:sz="8" w:space="0" w:color="auto"/>
              <w:right w:val="single" w:sz="8" w:space="0" w:color="auto"/>
            </w:tcBorders>
            <w:shd w:val="clear" w:color="auto" w:fill="auto"/>
            <w:noWrap/>
            <w:vAlign w:val="center"/>
            <w:hideMark/>
          </w:tcPr>
          <w:p w14:paraId="6BD05EB9"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100</w:t>
            </w:r>
          </w:p>
        </w:tc>
        <w:tc>
          <w:tcPr>
            <w:tcW w:w="493" w:type="dxa"/>
            <w:tcBorders>
              <w:top w:val="nil"/>
              <w:left w:val="nil"/>
              <w:bottom w:val="single" w:sz="8" w:space="0" w:color="auto"/>
              <w:right w:val="single" w:sz="8" w:space="0" w:color="auto"/>
            </w:tcBorders>
            <w:shd w:val="clear" w:color="000000" w:fill="FFFFFF"/>
            <w:noWrap/>
            <w:vAlign w:val="center"/>
            <w:hideMark/>
          </w:tcPr>
          <w:p w14:paraId="33CED4EC" w14:textId="77777777" w:rsidR="009F7FEF" w:rsidRPr="002E5BE9" w:rsidRDefault="009F7FEF" w:rsidP="00165AB7">
            <w:pPr>
              <w:jc w:val="center"/>
              <w:rPr>
                <w:rFonts w:ascii="Garamond" w:hAnsi="Garamond" w:cstheme="minorHAnsi"/>
                <w:color w:val="000000"/>
                <w:sz w:val="20"/>
              </w:rPr>
            </w:pPr>
            <w:r w:rsidRPr="002E5BE9">
              <w:rPr>
                <w:rFonts w:ascii="Garamond" w:hAnsi="Garamond" w:cstheme="minorHAnsi"/>
                <w:color w:val="000000"/>
                <w:sz w:val="20"/>
              </w:rPr>
              <w:t>100</w:t>
            </w:r>
          </w:p>
        </w:tc>
      </w:tr>
    </w:tbl>
    <w:p w14:paraId="072656C9" w14:textId="77777777" w:rsidR="00995253" w:rsidRPr="006B6B51" w:rsidRDefault="00995253" w:rsidP="00421173">
      <w:pPr>
        <w:rPr>
          <w:rFonts w:ascii="Garamond" w:hAnsi="Garamond"/>
        </w:rPr>
      </w:pPr>
    </w:p>
    <w:p w14:paraId="64DC16F0" w14:textId="77777777" w:rsidR="00421173" w:rsidRPr="006B6B51" w:rsidRDefault="00421173" w:rsidP="00995253">
      <w:pPr>
        <w:pStyle w:val="Titre2"/>
        <w:numPr>
          <w:ilvl w:val="2"/>
          <w:numId w:val="1"/>
        </w:numPr>
        <w:ind w:hanging="371"/>
        <w:rPr>
          <w:rFonts w:ascii="Garamond" w:hAnsi="Garamond" w:cstheme="minorHAnsi"/>
          <w:sz w:val="22"/>
          <w:szCs w:val="22"/>
        </w:rPr>
      </w:pPr>
      <w:bookmarkStart w:id="16" w:name="_Toc2326496"/>
      <w:r w:rsidRPr="006B6B51">
        <w:rPr>
          <w:rFonts w:ascii="Garamond" w:hAnsi="Garamond" w:cstheme="minorHAnsi"/>
          <w:sz w:val="22"/>
          <w:szCs w:val="22"/>
        </w:rPr>
        <w:t>Comité de sélection</w:t>
      </w:r>
      <w:bookmarkEnd w:id="16"/>
    </w:p>
    <w:p w14:paraId="6A68DEAF" w14:textId="77777777" w:rsidR="00EB4826" w:rsidRPr="006B6B51" w:rsidRDefault="00EB4826" w:rsidP="00EB4826">
      <w:pPr>
        <w:rPr>
          <w:rFonts w:ascii="Garamond" w:hAnsi="Garamond"/>
        </w:rPr>
      </w:pPr>
    </w:p>
    <w:p w14:paraId="5433D62F" w14:textId="77777777" w:rsidR="00EB4826" w:rsidRPr="006B6B51" w:rsidRDefault="00EB4826" w:rsidP="00421173">
      <w:pPr>
        <w:rPr>
          <w:rFonts w:ascii="Garamond" w:hAnsi="Garamond" w:cstheme="minorHAnsi"/>
        </w:rPr>
      </w:pPr>
      <w:r w:rsidRPr="006B6B51">
        <w:rPr>
          <w:rFonts w:ascii="Garamond" w:hAnsi="Garamond" w:cstheme="minorHAnsi"/>
        </w:rPr>
        <w:t>Le comité de sélection</w:t>
      </w:r>
      <w:r w:rsidR="008A12DC" w:rsidRPr="006B6B51">
        <w:rPr>
          <w:rFonts w:ascii="Garamond" w:hAnsi="Garamond" w:cstheme="minorHAnsi"/>
        </w:rPr>
        <w:t xml:space="preserve"> des projets est composé de représentant des </w:t>
      </w:r>
      <w:r w:rsidRPr="006B6B51">
        <w:rPr>
          <w:rFonts w:ascii="Garamond" w:hAnsi="Garamond" w:cstheme="minorHAnsi"/>
        </w:rPr>
        <w:t xml:space="preserve">membres </w:t>
      </w:r>
      <w:r w:rsidR="008A12DC" w:rsidRPr="006B6B51">
        <w:rPr>
          <w:rFonts w:ascii="Garamond" w:hAnsi="Garamond" w:cstheme="minorHAnsi"/>
        </w:rPr>
        <w:t>de la conférence des financeurs. Il participera à la sélection des pré-projets et aux auditions des porteurs.</w:t>
      </w:r>
    </w:p>
    <w:p w14:paraId="63ACB784" w14:textId="77777777" w:rsidR="00961DFA" w:rsidRPr="006B6B51" w:rsidRDefault="00961DFA" w:rsidP="00421173">
      <w:pPr>
        <w:rPr>
          <w:rFonts w:ascii="Garamond" w:hAnsi="Garamond" w:cstheme="minorHAnsi"/>
        </w:rPr>
      </w:pPr>
      <w:r w:rsidRPr="006B6B51">
        <w:rPr>
          <w:rFonts w:ascii="Garamond" w:hAnsi="Garamond" w:cstheme="minorHAnsi"/>
        </w:rPr>
        <w:t>Les projets interdépartementaux seront instruits en commun par les deux conférences des financeurs.</w:t>
      </w:r>
    </w:p>
    <w:p w14:paraId="7409391D" w14:textId="77777777" w:rsidR="00995253" w:rsidRPr="006B6B51" w:rsidRDefault="00995253" w:rsidP="00421173">
      <w:pPr>
        <w:rPr>
          <w:rFonts w:ascii="Garamond" w:hAnsi="Garamond" w:cstheme="minorHAnsi"/>
        </w:rPr>
      </w:pPr>
    </w:p>
    <w:p w14:paraId="20E0F889" w14:textId="77777777" w:rsidR="00D43B92" w:rsidRPr="006B6B51" w:rsidRDefault="001D3250" w:rsidP="00995253">
      <w:pPr>
        <w:pStyle w:val="Titre2"/>
        <w:numPr>
          <w:ilvl w:val="1"/>
          <w:numId w:val="1"/>
        </w:numPr>
        <w:rPr>
          <w:rFonts w:ascii="Garamond" w:hAnsi="Garamond" w:cstheme="minorHAnsi"/>
          <w:sz w:val="22"/>
          <w:szCs w:val="22"/>
        </w:rPr>
      </w:pPr>
      <w:bookmarkStart w:id="17" w:name="_Toc2326497"/>
      <w:r w:rsidRPr="006B6B51">
        <w:rPr>
          <w:rFonts w:ascii="Garamond" w:hAnsi="Garamond" w:cstheme="minorHAnsi"/>
          <w:sz w:val="22"/>
          <w:szCs w:val="22"/>
        </w:rPr>
        <w:lastRenderedPageBreak/>
        <w:t>A</w:t>
      </w:r>
      <w:r w:rsidR="00D43B92" w:rsidRPr="006B6B51">
        <w:rPr>
          <w:rFonts w:ascii="Garamond" w:hAnsi="Garamond" w:cstheme="minorHAnsi"/>
          <w:sz w:val="22"/>
          <w:szCs w:val="22"/>
        </w:rPr>
        <w:t>ccompagnement des porteurs</w:t>
      </w:r>
      <w:bookmarkEnd w:id="17"/>
    </w:p>
    <w:p w14:paraId="71AB61EE" w14:textId="77777777" w:rsidR="008A12DC" w:rsidRPr="006B6B51" w:rsidRDefault="008A12DC" w:rsidP="008A12DC">
      <w:pPr>
        <w:rPr>
          <w:rFonts w:ascii="Garamond" w:eastAsiaTheme="majorEastAsia" w:hAnsi="Garamond" w:cstheme="minorHAnsi"/>
        </w:rPr>
      </w:pPr>
    </w:p>
    <w:p w14:paraId="56D8D036" w14:textId="77777777" w:rsidR="001D3250" w:rsidRPr="006B6B51" w:rsidRDefault="001D3250" w:rsidP="00995253">
      <w:pPr>
        <w:pStyle w:val="Titre2"/>
        <w:numPr>
          <w:ilvl w:val="2"/>
          <w:numId w:val="1"/>
        </w:numPr>
        <w:ind w:hanging="371"/>
        <w:rPr>
          <w:rFonts w:ascii="Garamond" w:hAnsi="Garamond" w:cstheme="minorHAnsi"/>
          <w:sz w:val="22"/>
          <w:szCs w:val="22"/>
        </w:rPr>
      </w:pPr>
      <w:bookmarkStart w:id="18" w:name="_Toc2326498"/>
      <w:r w:rsidRPr="006B6B51">
        <w:rPr>
          <w:rFonts w:ascii="Garamond" w:hAnsi="Garamond" w:cstheme="minorHAnsi"/>
          <w:sz w:val="22"/>
          <w:szCs w:val="22"/>
        </w:rPr>
        <w:t>Objectifs de l’accompagnement</w:t>
      </w:r>
      <w:bookmarkEnd w:id="18"/>
    </w:p>
    <w:p w14:paraId="56B87F0F" w14:textId="77777777" w:rsidR="001D3250" w:rsidRPr="006B6B51" w:rsidRDefault="001D3250" w:rsidP="001D3250">
      <w:pPr>
        <w:rPr>
          <w:rFonts w:ascii="Garamond" w:hAnsi="Garamond"/>
        </w:rPr>
      </w:pPr>
    </w:p>
    <w:p w14:paraId="7EEF3B50" w14:textId="77777777" w:rsidR="001D3250" w:rsidRPr="006B6B51" w:rsidRDefault="001D3250" w:rsidP="001D3250">
      <w:pPr>
        <w:rPr>
          <w:rFonts w:ascii="Garamond" w:hAnsi="Garamond"/>
        </w:rPr>
      </w:pPr>
      <w:r w:rsidRPr="006B6B51">
        <w:rPr>
          <w:rFonts w:ascii="Garamond" w:hAnsi="Garamond"/>
        </w:rPr>
        <w:t xml:space="preserve">Les projets présélectionnés seront accompagnés </w:t>
      </w:r>
      <w:r w:rsidR="00005A0D" w:rsidRPr="006B6B51">
        <w:rPr>
          <w:rFonts w:ascii="Garamond" w:hAnsi="Garamond"/>
        </w:rPr>
        <w:t>afin de mieux</w:t>
      </w:r>
      <w:r w:rsidRPr="006B6B51">
        <w:rPr>
          <w:rFonts w:ascii="Garamond" w:hAnsi="Garamond"/>
        </w:rPr>
        <w:t xml:space="preserve"> répondre aux programmes coordonnés des conférences des financeurs. Il sera attendu de l’accompagnement</w:t>
      </w:r>
      <w:r w:rsidR="00DF1447" w:rsidRPr="006B6B51">
        <w:rPr>
          <w:rFonts w:ascii="Garamond" w:hAnsi="Garamond"/>
        </w:rPr>
        <w:t xml:space="preserve"> des projets, </w:t>
      </w:r>
      <w:r w:rsidRPr="006B6B51">
        <w:rPr>
          <w:rFonts w:ascii="Garamond" w:hAnsi="Garamond"/>
        </w:rPr>
        <w:t>une amélioration </w:t>
      </w:r>
      <w:r w:rsidR="00005A0D" w:rsidRPr="006B6B51">
        <w:rPr>
          <w:rFonts w:ascii="Garamond" w:hAnsi="Garamond"/>
        </w:rPr>
        <w:t>objective en terme :</w:t>
      </w:r>
    </w:p>
    <w:p w14:paraId="1205136B" w14:textId="0526E9EE" w:rsidR="002A1072" w:rsidRPr="00C409F4" w:rsidRDefault="00005A0D" w:rsidP="00C409F4">
      <w:pPr>
        <w:pStyle w:val="Paragraphedeliste"/>
        <w:numPr>
          <w:ilvl w:val="0"/>
          <w:numId w:val="6"/>
        </w:numPr>
        <w:rPr>
          <w:rFonts w:ascii="Garamond" w:hAnsi="Garamond" w:cstheme="minorHAnsi"/>
        </w:rPr>
      </w:pPr>
      <w:r w:rsidRPr="00C409F4">
        <w:rPr>
          <w:rFonts w:ascii="Garamond" w:hAnsi="Garamond" w:cstheme="minorHAnsi"/>
        </w:rPr>
        <w:t xml:space="preserve">de </w:t>
      </w:r>
      <w:r w:rsidR="00EC4D43" w:rsidRPr="00C409F4">
        <w:rPr>
          <w:rFonts w:ascii="Garamond" w:hAnsi="Garamond" w:cstheme="minorHAnsi"/>
        </w:rPr>
        <w:t>pertinence des réponses,</w:t>
      </w:r>
      <w:r w:rsidR="001D3250" w:rsidRPr="00C409F4">
        <w:rPr>
          <w:rFonts w:ascii="Garamond" w:hAnsi="Garamond" w:cstheme="minorHAnsi"/>
        </w:rPr>
        <w:t xml:space="preserve"> </w:t>
      </w:r>
      <w:r w:rsidRPr="00C409F4">
        <w:rPr>
          <w:rFonts w:ascii="Garamond" w:hAnsi="Garamond" w:cstheme="minorHAnsi"/>
        </w:rPr>
        <w:t xml:space="preserve">garantissant une modification des comportements du public </w:t>
      </w:r>
      <w:proofErr w:type="gramStart"/>
      <w:r w:rsidRPr="00C409F4">
        <w:rPr>
          <w:rFonts w:ascii="Garamond" w:hAnsi="Garamond" w:cstheme="minorHAnsi"/>
        </w:rPr>
        <w:t>cible</w:t>
      </w:r>
      <w:proofErr w:type="gramEnd"/>
      <w:r w:rsidR="002A1072" w:rsidRPr="00C409F4">
        <w:rPr>
          <w:rFonts w:ascii="Garamond" w:hAnsi="Garamond" w:cstheme="minorHAnsi"/>
        </w:rPr>
        <w:t>,</w:t>
      </w:r>
    </w:p>
    <w:p w14:paraId="72D02478" w14:textId="46677FC1" w:rsidR="001D3250" w:rsidRPr="00C409F4" w:rsidRDefault="00005A0D" w:rsidP="00C409F4">
      <w:pPr>
        <w:pStyle w:val="Paragraphedeliste"/>
        <w:numPr>
          <w:ilvl w:val="0"/>
          <w:numId w:val="6"/>
        </w:numPr>
        <w:rPr>
          <w:rFonts w:ascii="Garamond" w:hAnsi="Garamond" w:cstheme="minorHAnsi"/>
        </w:rPr>
      </w:pPr>
      <w:r w:rsidRPr="00C409F4">
        <w:rPr>
          <w:rFonts w:ascii="Garamond" w:hAnsi="Garamond" w:cstheme="minorHAnsi"/>
        </w:rPr>
        <w:t>de couverture territoriale</w:t>
      </w:r>
      <w:r w:rsidR="002A1072" w:rsidRPr="00C409F4">
        <w:rPr>
          <w:rFonts w:ascii="Garamond" w:hAnsi="Garamond" w:cstheme="minorHAnsi"/>
        </w:rPr>
        <w:t>,</w:t>
      </w:r>
    </w:p>
    <w:p w14:paraId="36140648" w14:textId="0B9CF8B1" w:rsidR="00792A3A" w:rsidRPr="00C409F4" w:rsidRDefault="00EC4D43" w:rsidP="00C409F4">
      <w:pPr>
        <w:pStyle w:val="Paragraphedeliste"/>
        <w:numPr>
          <w:ilvl w:val="0"/>
          <w:numId w:val="6"/>
        </w:numPr>
        <w:rPr>
          <w:rFonts w:ascii="Garamond" w:hAnsi="Garamond" w:cstheme="minorHAnsi"/>
        </w:rPr>
      </w:pPr>
      <w:r w:rsidRPr="00C409F4">
        <w:rPr>
          <w:rFonts w:ascii="Garamond" w:hAnsi="Garamond" w:cstheme="minorHAnsi"/>
        </w:rPr>
        <w:t xml:space="preserve">d’innovation, </w:t>
      </w:r>
      <w:r w:rsidR="00005A0D" w:rsidRPr="00C409F4">
        <w:rPr>
          <w:rFonts w:ascii="Garamond" w:hAnsi="Garamond" w:cstheme="minorHAnsi"/>
        </w:rPr>
        <w:t xml:space="preserve">permettant de remettre en question les outils et organisations existantes en vue de les améliorer </w:t>
      </w:r>
      <w:r w:rsidR="00792A3A" w:rsidRPr="00C409F4">
        <w:rPr>
          <w:rFonts w:ascii="Garamond" w:hAnsi="Garamond" w:cstheme="minorHAnsi"/>
        </w:rPr>
        <w:t>ou permettant la création de réponses encore in</w:t>
      </w:r>
      <w:r w:rsidR="002A1072" w:rsidRPr="00C409F4">
        <w:rPr>
          <w:rFonts w:ascii="Garamond" w:hAnsi="Garamond" w:cstheme="minorHAnsi"/>
        </w:rPr>
        <w:t>existantes sur les territoires,</w:t>
      </w:r>
    </w:p>
    <w:p w14:paraId="3941C735" w14:textId="53D2757E" w:rsidR="001D3250" w:rsidRPr="006B6B51" w:rsidRDefault="002A1072" w:rsidP="00C409F4">
      <w:pPr>
        <w:pStyle w:val="Paragraphedeliste"/>
        <w:numPr>
          <w:ilvl w:val="0"/>
          <w:numId w:val="6"/>
        </w:numPr>
        <w:rPr>
          <w:rFonts w:ascii="Garamond" w:hAnsi="Garamond" w:cstheme="minorHAnsi"/>
        </w:rPr>
      </w:pPr>
      <w:r w:rsidRPr="00C409F4">
        <w:rPr>
          <w:rFonts w:ascii="Garamond" w:hAnsi="Garamond" w:cstheme="minorHAnsi"/>
        </w:rPr>
        <w:t>et</w:t>
      </w:r>
      <w:r w:rsidR="00792A3A" w:rsidRPr="00C409F4">
        <w:rPr>
          <w:rFonts w:ascii="Garamond" w:hAnsi="Garamond" w:cstheme="minorHAnsi"/>
        </w:rPr>
        <w:t xml:space="preserve"> de st</w:t>
      </w:r>
      <w:r w:rsidR="00DF1447" w:rsidRPr="006B6B51">
        <w:rPr>
          <w:rFonts w:ascii="Garamond" w:hAnsi="Garamond" w:cstheme="minorHAnsi"/>
        </w:rPr>
        <w:t xml:space="preserve">ructuration du projet, </w:t>
      </w:r>
      <w:r w:rsidR="00792A3A" w:rsidRPr="006B6B51">
        <w:rPr>
          <w:rFonts w:ascii="Garamond" w:hAnsi="Garamond" w:cstheme="minorHAnsi"/>
        </w:rPr>
        <w:t>mettant en place une organisation, des réseaux ou des outils ayant un impact en termes de synergie et de dév</w:t>
      </w:r>
      <w:r w:rsidR="00DF1447" w:rsidRPr="006B6B51">
        <w:rPr>
          <w:rFonts w:ascii="Garamond" w:hAnsi="Garamond" w:cstheme="minorHAnsi"/>
        </w:rPr>
        <w:t xml:space="preserve">eloppement pour une communauté ou </w:t>
      </w:r>
      <w:r w:rsidRPr="006B6B51">
        <w:rPr>
          <w:rFonts w:ascii="Garamond" w:hAnsi="Garamond" w:cstheme="minorHAnsi"/>
        </w:rPr>
        <w:t>un territoire.</w:t>
      </w:r>
    </w:p>
    <w:p w14:paraId="2B8407EF" w14:textId="77777777" w:rsidR="005226CF" w:rsidRPr="006B6B51" w:rsidRDefault="005226CF" w:rsidP="001D3250">
      <w:pPr>
        <w:rPr>
          <w:rFonts w:ascii="Garamond" w:hAnsi="Garamond"/>
        </w:rPr>
      </w:pPr>
    </w:p>
    <w:p w14:paraId="033120D6" w14:textId="77777777" w:rsidR="001D3250" w:rsidRPr="006B6B51" w:rsidRDefault="001D3250" w:rsidP="00995253">
      <w:pPr>
        <w:pStyle w:val="Titre2"/>
        <w:numPr>
          <w:ilvl w:val="2"/>
          <w:numId w:val="1"/>
        </w:numPr>
        <w:ind w:hanging="371"/>
        <w:rPr>
          <w:rFonts w:ascii="Garamond" w:hAnsi="Garamond" w:cstheme="minorHAnsi"/>
          <w:sz w:val="22"/>
          <w:szCs w:val="22"/>
        </w:rPr>
      </w:pPr>
      <w:bookmarkStart w:id="19" w:name="_Toc2326499"/>
      <w:r w:rsidRPr="006B6B51">
        <w:rPr>
          <w:rFonts w:ascii="Garamond" w:hAnsi="Garamond" w:cstheme="minorHAnsi"/>
          <w:sz w:val="22"/>
          <w:szCs w:val="22"/>
        </w:rPr>
        <w:t xml:space="preserve">Modalité </w:t>
      </w:r>
      <w:r w:rsidR="00EB49B3" w:rsidRPr="006B6B51">
        <w:rPr>
          <w:rFonts w:ascii="Garamond" w:hAnsi="Garamond" w:cstheme="minorHAnsi"/>
          <w:sz w:val="22"/>
          <w:szCs w:val="22"/>
        </w:rPr>
        <w:t>d’accompagnement</w:t>
      </w:r>
      <w:bookmarkEnd w:id="19"/>
    </w:p>
    <w:p w14:paraId="0EC57063" w14:textId="77777777" w:rsidR="005226CF" w:rsidRPr="006B6B51" w:rsidRDefault="005226CF" w:rsidP="005226CF">
      <w:pPr>
        <w:rPr>
          <w:rFonts w:ascii="Garamond" w:hAnsi="Garamond"/>
        </w:rPr>
      </w:pPr>
    </w:p>
    <w:p w14:paraId="477533C0" w14:textId="77777777" w:rsidR="00EB4826" w:rsidRPr="006B6B51" w:rsidRDefault="00DA19A0" w:rsidP="00EB4826">
      <w:pPr>
        <w:rPr>
          <w:rFonts w:ascii="Garamond" w:hAnsi="Garamond" w:cstheme="minorHAnsi"/>
        </w:rPr>
      </w:pPr>
      <w:r w:rsidRPr="006B6B51">
        <w:rPr>
          <w:rFonts w:ascii="Garamond" w:hAnsi="Garamond" w:cstheme="minorHAnsi"/>
        </w:rPr>
        <w:t xml:space="preserve">A l’issue des </w:t>
      </w:r>
      <w:r w:rsidR="001D3250" w:rsidRPr="006B6B51">
        <w:rPr>
          <w:rFonts w:ascii="Garamond" w:hAnsi="Garamond" w:cstheme="minorHAnsi"/>
        </w:rPr>
        <w:t>pré-</w:t>
      </w:r>
      <w:r w:rsidRPr="006B6B51">
        <w:rPr>
          <w:rFonts w:ascii="Garamond" w:hAnsi="Garamond" w:cstheme="minorHAnsi"/>
        </w:rPr>
        <w:t>sélections, les projets retenus b</w:t>
      </w:r>
      <w:r w:rsidR="0049318A" w:rsidRPr="006B6B51">
        <w:rPr>
          <w:rFonts w:ascii="Garamond" w:hAnsi="Garamond" w:cstheme="minorHAnsi"/>
        </w:rPr>
        <w:t xml:space="preserve">énéficieront d’un accompagnement </w:t>
      </w:r>
      <w:r w:rsidRPr="006B6B51">
        <w:rPr>
          <w:rFonts w:ascii="Garamond" w:hAnsi="Garamond" w:cstheme="minorHAnsi"/>
        </w:rPr>
        <w:t xml:space="preserve">méthodologique et thématique par plusieurs </w:t>
      </w:r>
      <w:r w:rsidR="00EB49B3" w:rsidRPr="006B6B51">
        <w:rPr>
          <w:rFonts w:ascii="Garamond" w:hAnsi="Garamond" w:cstheme="minorHAnsi"/>
        </w:rPr>
        <w:t>opérateurs</w:t>
      </w:r>
      <w:r w:rsidRPr="006B6B51">
        <w:rPr>
          <w:rFonts w:ascii="Garamond" w:hAnsi="Garamond" w:cstheme="minorHAnsi"/>
        </w:rPr>
        <w:t>:</w:t>
      </w:r>
    </w:p>
    <w:p w14:paraId="53211C34" w14:textId="6C914901" w:rsidR="00B903F1" w:rsidRPr="006B6B51" w:rsidRDefault="00B903F1" w:rsidP="001D05C5">
      <w:pPr>
        <w:pStyle w:val="Paragraphedeliste"/>
        <w:numPr>
          <w:ilvl w:val="0"/>
          <w:numId w:val="6"/>
        </w:numPr>
        <w:rPr>
          <w:rFonts w:ascii="Garamond" w:hAnsi="Garamond" w:cstheme="minorHAnsi"/>
        </w:rPr>
      </w:pPr>
      <w:r w:rsidRPr="006B6B51">
        <w:rPr>
          <w:rFonts w:ascii="Garamond" w:hAnsi="Garamond" w:cstheme="minorHAnsi"/>
        </w:rPr>
        <w:t>Le social LAB e-</w:t>
      </w:r>
      <w:proofErr w:type="spellStart"/>
      <w:r w:rsidRPr="006B6B51">
        <w:rPr>
          <w:rFonts w:ascii="Garamond" w:hAnsi="Garamond" w:cstheme="minorHAnsi"/>
        </w:rPr>
        <w:t>tonomy</w:t>
      </w:r>
      <w:proofErr w:type="spellEnd"/>
      <w:r w:rsidRPr="006B6B51">
        <w:rPr>
          <w:rFonts w:ascii="Garamond" w:hAnsi="Garamond" w:cstheme="minorHAnsi"/>
        </w:rPr>
        <w:t xml:space="preserve"> retenu pour son expertise et sa connaissance des acteurs du digital et/ou innovants dans le domaine de l’autonomie</w:t>
      </w:r>
      <w:r w:rsidR="002A1072" w:rsidRPr="006B6B51">
        <w:rPr>
          <w:rFonts w:ascii="Garamond" w:hAnsi="Garamond" w:cstheme="minorHAnsi"/>
        </w:rPr>
        <w:t> ;</w:t>
      </w:r>
    </w:p>
    <w:p w14:paraId="3843CFD5" w14:textId="77777777" w:rsidR="00EB49B3" w:rsidRPr="006B6B51" w:rsidRDefault="00EB49B3" w:rsidP="00995253">
      <w:pPr>
        <w:pStyle w:val="Paragraphedeliste"/>
        <w:numPr>
          <w:ilvl w:val="0"/>
          <w:numId w:val="6"/>
        </w:numPr>
        <w:rPr>
          <w:rFonts w:ascii="Garamond" w:hAnsi="Garamond" w:cstheme="minorHAnsi"/>
        </w:rPr>
      </w:pPr>
      <w:r w:rsidRPr="006B6B51">
        <w:rPr>
          <w:rFonts w:ascii="Garamond" w:hAnsi="Garamond" w:cstheme="minorHAnsi"/>
        </w:rPr>
        <w:t xml:space="preserve">Le </w:t>
      </w:r>
      <w:proofErr w:type="spellStart"/>
      <w:r w:rsidRPr="006B6B51">
        <w:rPr>
          <w:rFonts w:ascii="Garamond" w:hAnsi="Garamond" w:cstheme="minorHAnsi"/>
        </w:rPr>
        <w:t>Lab</w:t>
      </w:r>
      <w:proofErr w:type="spellEnd"/>
      <w:r w:rsidRPr="006B6B51">
        <w:rPr>
          <w:rFonts w:ascii="Garamond" w:hAnsi="Garamond" w:cstheme="minorHAnsi"/>
        </w:rPr>
        <w:t xml:space="preserve"> Seniors du département des Hauts-de-Seine en lien avec l’incubateur Silver </w:t>
      </w:r>
      <w:proofErr w:type="spellStart"/>
      <w:r w:rsidRPr="006B6B51">
        <w:rPr>
          <w:rFonts w:ascii="Garamond" w:hAnsi="Garamond" w:cstheme="minorHAnsi"/>
        </w:rPr>
        <w:t>valley</w:t>
      </w:r>
      <w:proofErr w:type="spellEnd"/>
      <w:r w:rsidRPr="006B6B51">
        <w:rPr>
          <w:rFonts w:ascii="Garamond" w:hAnsi="Garamond" w:cstheme="minorHAnsi"/>
        </w:rPr>
        <w:t>, composé de cadres et médecins gérontologues du Département formés aux méthodes de coaching, retenus pour leur connaissance des besoins du public et leur connaissance des acteurs Alto-séquanais.</w:t>
      </w:r>
    </w:p>
    <w:p w14:paraId="1C88E929" w14:textId="77777777" w:rsidR="00DA19A0" w:rsidRPr="006B6B51" w:rsidRDefault="00DA19A0" w:rsidP="00995253">
      <w:pPr>
        <w:pStyle w:val="Paragraphedeliste"/>
        <w:numPr>
          <w:ilvl w:val="0"/>
          <w:numId w:val="6"/>
        </w:numPr>
        <w:rPr>
          <w:rFonts w:ascii="Garamond" w:hAnsi="Garamond" w:cstheme="minorHAnsi"/>
        </w:rPr>
      </w:pPr>
      <w:r w:rsidRPr="006B6B51">
        <w:rPr>
          <w:rFonts w:ascii="Garamond" w:hAnsi="Garamond" w:cstheme="minorHAnsi"/>
        </w:rPr>
        <w:t>Les référents prévention des Yvelines, retenus pour leur connaissance des acteurs Yvelinois médico-sociaux et sanitaires, des besoins du public cible et leur expertise dans le domaine de la prévention.</w:t>
      </w:r>
    </w:p>
    <w:p w14:paraId="4B658802" w14:textId="5315861F" w:rsidR="001D3250" w:rsidRPr="006B6B51" w:rsidRDefault="00EB49B3" w:rsidP="001D3250">
      <w:pPr>
        <w:rPr>
          <w:rFonts w:ascii="Garamond" w:hAnsi="Garamond" w:cstheme="minorHAnsi"/>
        </w:rPr>
      </w:pPr>
      <w:r w:rsidRPr="006B6B51">
        <w:rPr>
          <w:rFonts w:ascii="Garamond" w:hAnsi="Garamond" w:cstheme="minorHAnsi"/>
        </w:rPr>
        <w:t xml:space="preserve">Les </w:t>
      </w:r>
      <w:r w:rsidR="00165AB7" w:rsidRPr="006B6B51">
        <w:rPr>
          <w:rFonts w:ascii="Garamond" w:hAnsi="Garamond" w:cstheme="minorHAnsi"/>
        </w:rPr>
        <w:t xml:space="preserve">porteurs de </w:t>
      </w:r>
      <w:r w:rsidRPr="006B6B51">
        <w:rPr>
          <w:rFonts w:ascii="Garamond" w:hAnsi="Garamond" w:cstheme="minorHAnsi"/>
        </w:rPr>
        <w:t xml:space="preserve">projets seront mis en relation avec </w:t>
      </w:r>
      <w:r w:rsidR="00165AB7" w:rsidRPr="006B6B51">
        <w:rPr>
          <w:rFonts w:ascii="Garamond" w:hAnsi="Garamond" w:cstheme="minorHAnsi"/>
        </w:rPr>
        <w:t>ces opérateurs. L’accompagnement donnera</w:t>
      </w:r>
      <w:r w:rsidRPr="006B6B51">
        <w:rPr>
          <w:rFonts w:ascii="Garamond" w:hAnsi="Garamond" w:cstheme="minorHAnsi"/>
        </w:rPr>
        <w:t xml:space="preserve"> lieu </w:t>
      </w:r>
      <w:r w:rsidR="00165AB7" w:rsidRPr="006B6B51">
        <w:rPr>
          <w:rFonts w:ascii="Garamond" w:hAnsi="Garamond" w:cstheme="minorHAnsi"/>
        </w:rPr>
        <w:t xml:space="preserve">à </w:t>
      </w:r>
      <w:r w:rsidRPr="006B6B51">
        <w:rPr>
          <w:rFonts w:ascii="Garamond" w:hAnsi="Garamond" w:cstheme="minorHAnsi"/>
        </w:rPr>
        <w:t xml:space="preserve">des </w:t>
      </w:r>
      <w:r w:rsidR="0056240B">
        <w:rPr>
          <w:rFonts w:ascii="Garamond" w:hAnsi="Garamond" w:cstheme="minorHAnsi"/>
        </w:rPr>
        <w:t>réunions</w:t>
      </w:r>
      <w:r w:rsidRPr="006B6B51">
        <w:rPr>
          <w:rFonts w:ascii="Garamond" w:hAnsi="Garamond" w:cstheme="minorHAnsi"/>
        </w:rPr>
        <w:t xml:space="preserve"> de travail</w:t>
      </w:r>
      <w:r w:rsidR="008A057C">
        <w:rPr>
          <w:rFonts w:ascii="Garamond" w:hAnsi="Garamond" w:cstheme="minorHAnsi"/>
        </w:rPr>
        <w:t xml:space="preserve"> et des temps d’échanges obligatoires.</w:t>
      </w:r>
    </w:p>
    <w:p w14:paraId="111FA4D3" w14:textId="77777777" w:rsidR="005226CF" w:rsidRPr="006B6B51" w:rsidRDefault="005226CF" w:rsidP="001D3250">
      <w:pPr>
        <w:rPr>
          <w:rFonts w:ascii="Garamond" w:hAnsi="Garamond" w:cstheme="minorHAnsi"/>
        </w:rPr>
      </w:pPr>
      <w:r w:rsidRPr="006B6B51">
        <w:rPr>
          <w:rFonts w:ascii="Garamond" w:hAnsi="Garamond" w:cstheme="minorHAnsi"/>
        </w:rPr>
        <w:t xml:space="preserve">Une newsletter permettra de communiquer largement sur l’avancée </w:t>
      </w:r>
      <w:r w:rsidR="00B344FA" w:rsidRPr="006B6B51">
        <w:rPr>
          <w:rFonts w:ascii="Garamond" w:hAnsi="Garamond" w:cstheme="minorHAnsi"/>
        </w:rPr>
        <w:t>des réflexions et structuration</w:t>
      </w:r>
      <w:r w:rsidR="0049318A" w:rsidRPr="006B6B51">
        <w:rPr>
          <w:rFonts w:ascii="Garamond" w:hAnsi="Garamond" w:cstheme="minorHAnsi"/>
        </w:rPr>
        <w:t>s</w:t>
      </w:r>
      <w:r w:rsidR="00B344FA" w:rsidRPr="006B6B51">
        <w:rPr>
          <w:rFonts w:ascii="Garamond" w:hAnsi="Garamond" w:cstheme="minorHAnsi"/>
        </w:rPr>
        <w:t xml:space="preserve"> </w:t>
      </w:r>
      <w:r w:rsidRPr="006B6B51">
        <w:rPr>
          <w:rFonts w:ascii="Garamond" w:hAnsi="Garamond" w:cstheme="minorHAnsi"/>
        </w:rPr>
        <w:t>de</w:t>
      </w:r>
      <w:r w:rsidR="00B344FA" w:rsidRPr="006B6B51">
        <w:rPr>
          <w:rFonts w:ascii="Garamond" w:hAnsi="Garamond" w:cstheme="minorHAnsi"/>
        </w:rPr>
        <w:t>s</w:t>
      </w:r>
      <w:r w:rsidRPr="006B6B51">
        <w:rPr>
          <w:rFonts w:ascii="Garamond" w:hAnsi="Garamond" w:cstheme="minorHAnsi"/>
        </w:rPr>
        <w:t xml:space="preserve"> projets.</w:t>
      </w:r>
    </w:p>
    <w:p w14:paraId="0602DBF1" w14:textId="77777777" w:rsidR="00B344FA" w:rsidRPr="006B6B51" w:rsidRDefault="00B344FA" w:rsidP="00995253">
      <w:pPr>
        <w:pStyle w:val="Titre2"/>
        <w:numPr>
          <w:ilvl w:val="1"/>
          <w:numId w:val="1"/>
        </w:numPr>
        <w:rPr>
          <w:rFonts w:ascii="Garamond" w:hAnsi="Garamond" w:cstheme="minorHAnsi"/>
          <w:sz w:val="22"/>
          <w:szCs w:val="22"/>
        </w:rPr>
      </w:pPr>
      <w:bookmarkStart w:id="20" w:name="_Toc2326500"/>
      <w:r w:rsidRPr="006B6B51">
        <w:rPr>
          <w:rFonts w:ascii="Garamond" w:hAnsi="Garamond" w:cstheme="minorHAnsi"/>
          <w:sz w:val="22"/>
          <w:szCs w:val="22"/>
        </w:rPr>
        <w:t>Financement des projets</w:t>
      </w:r>
      <w:bookmarkEnd w:id="20"/>
    </w:p>
    <w:p w14:paraId="36BC6340" w14:textId="77777777" w:rsidR="00A86C08" w:rsidRPr="006B6B51" w:rsidRDefault="00A86C08" w:rsidP="00A86C08">
      <w:pPr>
        <w:rPr>
          <w:rFonts w:ascii="Garamond" w:hAnsi="Garamond"/>
        </w:rPr>
      </w:pPr>
    </w:p>
    <w:p w14:paraId="743858A7" w14:textId="77777777" w:rsidR="00A86C08" w:rsidRPr="006B6B51" w:rsidRDefault="00A86C08" w:rsidP="00995253">
      <w:pPr>
        <w:pStyle w:val="Titre2"/>
        <w:numPr>
          <w:ilvl w:val="2"/>
          <w:numId w:val="1"/>
        </w:numPr>
        <w:ind w:hanging="371"/>
        <w:rPr>
          <w:rFonts w:ascii="Garamond" w:hAnsi="Garamond" w:cstheme="minorHAnsi"/>
          <w:sz w:val="22"/>
          <w:szCs w:val="22"/>
        </w:rPr>
      </w:pPr>
      <w:bookmarkStart w:id="21" w:name="_Toc2326501"/>
      <w:r w:rsidRPr="006B6B51">
        <w:rPr>
          <w:rFonts w:ascii="Garamond" w:hAnsi="Garamond" w:cstheme="minorHAnsi"/>
          <w:sz w:val="22"/>
          <w:szCs w:val="22"/>
        </w:rPr>
        <w:t>Le financement de la conférence des financeurs</w:t>
      </w:r>
      <w:bookmarkEnd w:id="21"/>
    </w:p>
    <w:p w14:paraId="30ADE6AB" w14:textId="77777777" w:rsidR="00B344FA" w:rsidRPr="006B6B51" w:rsidRDefault="00B344FA" w:rsidP="001D3250">
      <w:pPr>
        <w:rPr>
          <w:rFonts w:ascii="Garamond" w:hAnsi="Garamond" w:cstheme="minorHAnsi"/>
        </w:rPr>
      </w:pPr>
    </w:p>
    <w:p w14:paraId="1A770C75" w14:textId="17D2C398" w:rsidR="00B344FA" w:rsidRPr="006B6B51" w:rsidRDefault="00B344FA" w:rsidP="001D3250">
      <w:pPr>
        <w:rPr>
          <w:rFonts w:ascii="Garamond" w:hAnsi="Garamond" w:cstheme="minorHAnsi"/>
        </w:rPr>
      </w:pPr>
      <w:r w:rsidRPr="006B6B51">
        <w:rPr>
          <w:rFonts w:ascii="Garamond" w:hAnsi="Garamond" w:cstheme="minorHAnsi"/>
        </w:rPr>
        <w:t>A l’issue de l’accompagnement</w:t>
      </w:r>
      <w:r w:rsidR="002A1072" w:rsidRPr="006B6B51">
        <w:rPr>
          <w:rFonts w:ascii="Garamond" w:hAnsi="Garamond" w:cstheme="minorHAnsi"/>
        </w:rPr>
        <w:t>,</w:t>
      </w:r>
      <w:r w:rsidRPr="006B6B51">
        <w:rPr>
          <w:rFonts w:ascii="Garamond" w:hAnsi="Garamond" w:cstheme="minorHAnsi"/>
        </w:rPr>
        <w:t xml:space="preserve"> </w:t>
      </w:r>
      <w:r w:rsidR="00FF22DA" w:rsidRPr="006B6B51">
        <w:rPr>
          <w:rFonts w:ascii="Garamond" w:hAnsi="Garamond" w:cstheme="minorHAnsi"/>
        </w:rPr>
        <w:t>jusqu’en</w:t>
      </w:r>
      <w:r w:rsidRPr="006B6B51">
        <w:rPr>
          <w:rFonts w:ascii="Garamond" w:hAnsi="Garamond" w:cstheme="minorHAnsi"/>
        </w:rPr>
        <w:t xml:space="preserve"> octobre 2019, les projets seront </w:t>
      </w:r>
      <w:r w:rsidR="0022739A" w:rsidRPr="006B6B51">
        <w:rPr>
          <w:rFonts w:ascii="Garamond" w:hAnsi="Garamond" w:cstheme="minorHAnsi"/>
        </w:rPr>
        <w:t xml:space="preserve"> de nouveau soumis au </w:t>
      </w:r>
      <w:r w:rsidRPr="006B6B51">
        <w:rPr>
          <w:rFonts w:ascii="Garamond" w:hAnsi="Garamond" w:cstheme="minorHAnsi"/>
        </w:rPr>
        <w:t>comité de sélection de la conférence des financeurs en vue d’obtenir un financement.</w:t>
      </w:r>
      <w:r w:rsidR="00CC7910" w:rsidRPr="006B6B51">
        <w:rPr>
          <w:rFonts w:ascii="Garamond" w:hAnsi="Garamond" w:cstheme="minorHAnsi"/>
        </w:rPr>
        <w:t xml:space="preserve"> </w:t>
      </w:r>
    </w:p>
    <w:p w14:paraId="6425B247" w14:textId="77777777" w:rsidR="00CC7910" w:rsidRPr="006B6B51" w:rsidRDefault="005226CF" w:rsidP="001D3250">
      <w:pPr>
        <w:rPr>
          <w:rFonts w:ascii="Garamond" w:hAnsi="Garamond" w:cstheme="minorHAnsi"/>
        </w:rPr>
      </w:pPr>
      <w:r w:rsidRPr="006B6B51">
        <w:rPr>
          <w:rFonts w:ascii="Garamond" w:hAnsi="Garamond" w:cstheme="minorHAnsi"/>
        </w:rPr>
        <w:t>Un projet présélectionné et accompagné pourrait ne pas aboutir et ne pas être financé par la conférence des financeurs si les objectifs de l’accompagnement n’étaient pas atteints.</w:t>
      </w:r>
      <w:r w:rsidR="00B344FA" w:rsidRPr="006B6B51">
        <w:rPr>
          <w:rFonts w:ascii="Garamond" w:hAnsi="Garamond" w:cstheme="minorHAnsi"/>
        </w:rPr>
        <w:t xml:space="preserve"> </w:t>
      </w:r>
    </w:p>
    <w:p w14:paraId="365D5F92" w14:textId="59B80BBC" w:rsidR="00B344FA" w:rsidRPr="006B6B51" w:rsidRDefault="00B344FA" w:rsidP="00995253">
      <w:pPr>
        <w:pStyle w:val="Titre2"/>
        <w:numPr>
          <w:ilvl w:val="0"/>
          <w:numId w:val="0"/>
        </w:numPr>
        <w:ind w:left="1080"/>
        <w:rPr>
          <w:rFonts w:ascii="Garamond" w:hAnsi="Garamond" w:cstheme="minorHAnsi"/>
          <w:sz w:val="22"/>
          <w:szCs w:val="22"/>
        </w:rPr>
      </w:pPr>
    </w:p>
    <w:p w14:paraId="372842AD" w14:textId="4805A1E3" w:rsidR="00D43B92" w:rsidRPr="006B6B51" w:rsidRDefault="000F4DB6" w:rsidP="00995253">
      <w:pPr>
        <w:pStyle w:val="Titre2"/>
        <w:numPr>
          <w:ilvl w:val="2"/>
          <w:numId w:val="1"/>
        </w:numPr>
        <w:ind w:hanging="371"/>
        <w:rPr>
          <w:rFonts w:ascii="Garamond" w:hAnsi="Garamond" w:cstheme="minorHAnsi"/>
          <w:sz w:val="22"/>
          <w:szCs w:val="22"/>
        </w:rPr>
      </w:pPr>
      <w:bookmarkStart w:id="22" w:name="_Toc2326502"/>
      <w:r w:rsidRPr="006B6B51">
        <w:rPr>
          <w:rFonts w:ascii="Garamond" w:hAnsi="Garamond" w:cstheme="minorHAnsi"/>
          <w:sz w:val="22"/>
          <w:szCs w:val="22"/>
        </w:rPr>
        <w:t>Pitch Day</w:t>
      </w:r>
      <w:r w:rsidR="00FF22DA" w:rsidRPr="006B6B51">
        <w:rPr>
          <w:rFonts w:ascii="Garamond" w:hAnsi="Garamond" w:cstheme="minorHAnsi"/>
          <w:sz w:val="22"/>
          <w:szCs w:val="22"/>
        </w:rPr>
        <w:t xml:space="preserve"> </w:t>
      </w:r>
      <w:r w:rsidRPr="006B6B51">
        <w:rPr>
          <w:rFonts w:ascii="Garamond" w:hAnsi="Garamond" w:cstheme="minorHAnsi"/>
          <w:sz w:val="22"/>
          <w:szCs w:val="22"/>
        </w:rPr>
        <w:t>(</w:t>
      </w:r>
      <w:r w:rsidR="00D43B92" w:rsidRPr="006B6B51">
        <w:rPr>
          <w:rFonts w:ascii="Garamond" w:hAnsi="Garamond" w:cstheme="minorHAnsi"/>
          <w:sz w:val="22"/>
          <w:szCs w:val="22"/>
        </w:rPr>
        <w:t>octobre 2019</w:t>
      </w:r>
      <w:r w:rsidRPr="006B6B51">
        <w:rPr>
          <w:rFonts w:ascii="Garamond" w:hAnsi="Garamond" w:cstheme="minorHAnsi"/>
          <w:sz w:val="22"/>
          <w:szCs w:val="22"/>
        </w:rPr>
        <w:t>)</w:t>
      </w:r>
      <w:bookmarkEnd w:id="22"/>
    </w:p>
    <w:p w14:paraId="1E92AA23" w14:textId="77777777" w:rsidR="00D43B92" w:rsidRPr="006B6B51" w:rsidRDefault="00D43B92" w:rsidP="008F4C81">
      <w:pPr>
        <w:rPr>
          <w:rFonts w:ascii="Garamond" w:hAnsi="Garamond" w:cstheme="minorHAnsi"/>
        </w:rPr>
      </w:pPr>
    </w:p>
    <w:p w14:paraId="7B95B888" w14:textId="77777777" w:rsidR="00DA19A0" w:rsidRPr="006B6B51" w:rsidRDefault="005226CF" w:rsidP="008F4C81">
      <w:pPr>
        <w:rPr>
          <w:rFonts w:ascii="Garamond" w:hAnsi="Garamond" w:cstheme="minorHAnsi"/>
        </w:rPr>
      </w:pPr>
      <w:r w:rsidRPr="006B6B51">
        <w:rPr>
          <w:rFonts w:ascii="Garamond" w:hAnsi="Garamond" w:cstheme="minorHAnsi"/>
        </w:rPr>
        <w:lastRenderedPageBreak/>
        <w:t>En octobre 2019, à l’occasion du salon E-</w:t>
      </w:r>
      <w:proofErr w:type="spellStart"/>
      <w:r w:rsidRPr="006B6B51">
        <w:rPr>
          <w:rFonts w:ascii="Garamond" w:hAnsi="Garamond" w:cstheme="minorHAnsi"/>
        </w:rPr>
        <w:t>tonomy</w:t>
      </w:r>
      <w:proofErr w:type="spellEnd"/>
      <w:r w:rsidRPr="006B6B51">
        <w:rPr>
          <w:rFonts w:ascii="Garamond" w:hAnsi="Garamond" w:cstheme="minorHAnsi"/>
        </w:rPr>
        <w:t xml:space="preserve"> organisé par INVIE et CAP 92, les projets présélectionnés seront mis en avant. En sus du financement de la conférence des financeurs, ils pourront être repérés par d’autre</w:t>
      </w:r>
      <w:r w:rsidR="00A86C08" w:rsidRPr="006B6B51">
        <w:rPr>
          <w:rFonts w:ascii="Garamond" w:hAnsi="Garamond" w:cstheme="minorHAnsi"/>
        </w:rPr>
        <w:t>s</w:t>
      </w:r>
      <w:r w:rsidRPr="006B6B51">
        <w:rPr>
          <w:rFonts w:ascii="Garamond" w:hAnsi="Garamond" w:cstheme="minorHAnsi"/>
        </w:rPr>
        <w:t xml:space="preserve"> financeurs potentiels (organisme de mutuelle, fondation d’entreprise, entreprise, </w:t>
      </w:r>
      <w:proofErr w:type="spellStart"/>
      <w:r w:rsidRPr="006B6B51">
        <w:rPr>
          <w:rFonts w:ascii="Garamond" w:hAnsi="Garamond" w:cstheme="minorHAnsi"/>
        </w:rPr>
        <w:t>Viva</w:t>
      </w:r>
      <w:proofErr w:type="spellEnd"/>
      <w:r w:rsidRPr="006B6B51">
        <w:rPr>
          <w:rFonts w:ascii="Garamond" w:hAnsi="Garamond" w:cstheme="minorHAnsi"/>
        </w:rPr>
        <w:t xml:space="preserve"> </w:t>
      </w:r>
      <w:proofErr w:type="spellStart"/>
      <w:r w:rsidRPr="006B6B51">
        <w:rPr>
          <w:rFonts w:ascii="Garamond" w:hAnsi="Garamond" w:cstheme="minorHAnsi"/>
        </w:rPr>
        <w:t>lab</w:t>
      </w:r>
      <w:proofErr w:type="spellEnd"/>
      <w:r w:rsidRPr="006B6B51">
        <w:rPr>
          <w:rFonts w:ascii="Garamond" w:hAnsi="Garamond" w:cstheme="minorHAnsi"/>
        </w:rPr>
        <w:t xml:space="preserve"> de la CNAV,….) et faire l’objet d’un accompagnement ou de financements complémentaires.</w:t>
      </w:r>
    </w:p>
    <w:p w14:paraId="39D545F9" w14:textId="77777777" w:rsidR="005226CF" w:rsidRPr="006B6B51" w:rsidRDefault="005226CF" w:rsidP="008F4C81">
      <w:pPr>
        <w:rPr>
          <w:rFonts w:ascii="Garamond" w:hAnsi="Garamond" w:cstheme="minorHAnsi"/>
        </w:rPr>
      </w:pPr>
    </w:p>
    <w:p w14:paraId="45EA3201" w14:textId="77777777" w:rsidR="005226CF" w:rsidRPr="006B6B51" w:rsidRDefault="005226CF" w:rsidP="008F4C81">
      <w:pPr>
        <w:rPr>
          <w:rFonts w:ascii="Garamond" w:hAnsi="Garamond" w:cstheme="minorHAnsi"/>
        </w:rPr>
      </w:pPr>
    </w:p>
    <w:sectPr w:rsidR="005226CF" w:rsidRPr="006B6B51" w:rsidSect="0063681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5A451" w14:textId="77777777" w:rsidR="00AE2F5D" w:rsidRDefault="00AE2F5D" w:rsidP="00D43B92">
      <w:pPr>
        <w:spacing w:after="0" w:line="240" w:lineRule="auto"/>
      </w:pPr>
      <w:r>
        <w:separator/>
      </w:r>
    </w:p>
  </w:endnote>
  <w:endnote w:type="continuationSeparator" w:id="0">
    <w:p w14:paraId="743DB05A" w14:textId="77777777" w:rsidR="00AE2F5D" w:rsidRDefault="00AE2F5D" w:rsidP="00D4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0C77" w14:textId="77777777" w:rsidR="003457D4" w:rsidRDefault="003457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951669"/>
      <w:docPartObj>
        <w:docPartGallery w:val="Page Numbers (Bottom of Page)"/>
        <w:docPartUnique/>
      </w:docPartObj>
    </w:sdtPr>
    <w:sdtEndPr/>
    <w:sdtContent>
      <w:sdt>
        <w:sdtPr>
          <w:id w:val="-1769616900"/>
          <w:docPartObj>
            <w:docPartGallery w:val="Page Numbers (Top of Page)"/>
            <w:docPartUnique/>
          </w:docPartObj>
        </w:sdtPr>
        <w:sdtEndPr/>
        <w:sdtContent>
          <w:p w14:paraId="7D972B77" w14:textId="77777777" w:rsidR="006B6B51" w:rsidRDefault="006B6B51">
            <w:pPr>
              <w:pStyle w:val="Pieddepage"/>
              <w:jc w:val="right"/>
            </w:pPr>
            <w:r>
              <w:t xml:space="preserve"> </w:t>
            </w:r>
            <w:r>
              <w:rPr>
                <w:b/>
                <w:bCs/>
                <w:sz w:val="24"/>
                <w:szCs w:val="24"/>
              </w:rPr>
              <w:fldChar w:fldCharType="begin"/>
            </w:r>
            <w:r>
              <w:rPr>
                <w:b/>
                <w:bCs/>
              </w:rPr>
              <w:instrText>PAGE</w:instrText>
            </w:r>
            <w:r>
              <w:rPr>
                <w:b/>
                <w:bCs/>
                <w:sz w:val="24"/>
                <w:szCs w:val="24"/>
              </w:rPr>
              <w:fldChar w:fldCharType="separate"/>
            </w:r>
            <w:r w:rsidR="00E60106">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60106">
              <w:rPr>
                <w:b/>
                <w:bCs/>
                <w:noProof/>
              </w:rPr>
              <w:t>7</w:t>
            </w:r>
            <w:r>
              <w:rPr>
                <w:b/>
                <w:bCs/>
                <w:sz w:val="24"/>
                <w:szCs w:val="24"/>
              </w:rPr>
              <w:fldChar w:fldCharType="end"/>
            </w:r>
          </w:p>
        </w:sdtContent>
      </w:sdt>
    </w:sdtContent>
  </w:sdt>
  <w:p w14:paraId="20EBAA5A" w14:textId="77777777" w:rsidR="00F3285B" w:rsidRDefault="00F328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F91C" w14:textId="77777777" w:rsidR="003457D4" w:rsidRDefault="003457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EED24" w14:textId="77777777" w:rsidR="00AE2F5D" w:rsidRDefault="00AE2F5D" w:rsidP="00D43B92">
      <w:pPr>
        <w:spacing w:after="0" w:line="240" w:lineRule="auto"/>
      </w:pPr>
      <w:r>
        <w:separator/>
      </w:r>
    </w:p>
  </w:footnote>
  <w:footnote w:type="continuationSeparator" w:id="0">
    <w:p w14:paraId="4246FE39" w14:textId="77777777" w:rsidR="00AE2F5D" w:rsidRDefault="00AE2F5D" w:rsidP="00D43B92">
      <w:pPr>
        <w:spacing w:after="0" w:line="240" w:lineRule="auto"/>
      </w:pPr>
      <w:r>
        <w:continuationSeparator/>
      </w:r>
    </w:p>
  </w:footnote>
  <w:footnote w:id="1">
    <w:p w14:paraId="4C28CDF5" w14:textId="77777777" w:rsidR="00F3285B" w:rsidRDefault="00F3285B">
      <w:pPr>
        <w:pStyle w:val="Notedebasdepage"/>
      </w:pPr>
      <w:r>
        <w:rPr>
          <w:rStyle w:val="Appelnotedebasdep"/>
        </w:rPr>
        <w:footnoteRef/>
      </w:r>
      <w:r>
        <w:t xml:space="preserve"> </w:t>
      </w:r>
      <w:r w:rsidRPr="002130EF">
        <w:t>Le schéma interdépartemental d’organisation sociale et médico-sociale Yvelines/Hauts-de-Seine 2018-2022</w:t>
      </w:r>
      <w:r>
        <w:t>, synthèse portrait de territoire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1A1D" w14:textId="77777777" w:rsidR="003457D4" w:rsidRDefault="003457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B5DE" w14:textId="342E4234" w:rsidR="003457D4" w:rsidRDefault="003457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106B8" w14:textId="77777777" w:rsidR="003457D4" w:rsidRDefault="003457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506"/>
    <w:multiLevelType w:val="hybridMultilevel"/>
    <w:tmpl w:val="50E86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70704"/>
    <w:multiLevelType w:val="hybridMultilevel"/>
    <w:tmpl w:val="7F02ECB4"/>
    <w:lvl w:ilvl="0" w:tplc="8334F548">
      <w:numFmt w:val="bullet"/>
      <w:lvlText w:val="-"/>
      <w:lvlJc w:val="left"/>
      <w:pPr>
        <w:ind w:left="720" w:hanging="360"/>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846B85"/>
    <w:multiLevelType w:val="multilevel"/>
    <w:tmpl w:val="2ADE0E58"/>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A71D6B"/>
    <w:multiLevelType w:val="hybridMultilevel"/>
    <w:tmpl w:val="A868455E"/>
    <w:lvl w:ilvl="0" w:tplc="90F0C45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6B14DA"/>
    <w:multiLevelType w:val="hybridMultilevel"/>
    <w:tmpl w:val="4ED48F94"/>
    <w:lvl w:ilvl="0" w:tplc="90F0C45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CE09F8"/>
    <w:multiLevelType w:val="hybridMultilevel"/>
    <w:tmpl w:val="5D54C27C"/>
    <w:lvl w:ilvl="0" w:tplc="DA70AF58">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111472"/>
    <w:multiLevelType w:val="hybridMultilevel"/>
    <w:tmpl w:val="325C7D6A"/>
    <w:lvl w:ilvl="0" w:tplc="F7D8AAAC">
      <w:start w:val="1"/>
      <w:numFmt w:val="decimal"/>
      <w:pStyle w:val="Titre3"/>
      <w:lvlText w:val="2.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92"/>
    <w:rsid w:val="00001431"/>
    <w:rsid w:val="00002715"/>
    <w:rsid w:val="00005A0D"/>
    <w:rsid w:val="000066F4"/>
    <w:rsid w:val="000126E9"/>
    <w:rsid w:val="00017B75"/>
    <w:rsid w:val="00027E63"/>
    <w:rsid w:val="00030073"/>
    <w:rsid w:val="00034D7A"/>
    <w:rsid w:val="00035A4C"/>
    <w:rsid w:val="00037D09"/>
    <w:rsid w:val="00041DB8"/>
    <w:rsid w:val="00044644"/>
    <w:rsid w:val="00044DDF"/>
    <w:rsid w:val="00045602"/>
    <w:rsid w:val="000501A7"/>
    <w:rsid w:val="00051AC6"/>
    <w:rsid w:val="00053BA7"/>
    <w:rsid w:val="00055BB4"/>
    <w:rsid w:val="000565C8"/>
    <w:rsid w:val="000608C0"/>
    <w:rsid w:val="00064952"/>
    <w:rsid w:val="00066908"/>
    <w:rsid w:val="00071127"/>
    <w:rsid w:val="0007208A"/>
    <w:rsid w:val="0007639B"/>
    <w:rsid w:val="000773C6"/>
    <w:rsid w:val="00077E43"/>
    <w:rsid w:val="00081813"/>
    <w:rsid w:val="0008716A"/>
    <w:rsid w:val="00091B60"/>
    <w:rsid w:val="000A5D26"/>
    <w:rsid w:val="000A61A1"/>
    <w:rsid w:val="000A75C3"/>
    <w:rsid w:val="000B035F"/>
    <w:rsid w:val="000B26E7"/>
    <w:rsid w:val="000B2A10"/>
    <w:rsid w:val="000C1298"/>
    <w:rsid w:val="000C571C"/>
    <w:rsid w:val="000D0A90"/>
    <w:rsid w:val="000D7198"/>
    <w:rsid w:val="000E4727"/>
    <w:rsid w:val="000E6479"/>
    <w:rsid w:val="000F37DA"/>
    <w:rsid w:val="000F4DB6"/>
    <w:rsid w:val="00105E07"/>
    <w:rsid w:val="0011104C"/>
    <w:rsid w:val="001175F2"/>
    <w:rsid w:val="001238F0"/>
    <w:rsid w:val="0012403B"/>
    <w:rsid w:val="00125522"/>
    <w:rsid w:val="001270F4"/>
    <w:rsid w:val="001325C2"/>
    <w:rsid w:val="001335B3"/>
    <w:rsid w:val="00133F08"/>
    <w:rsid w:val="001444FC"/>
    <w:rsid w:val="001503E4"/>
    <w:rsid w:val="00153F3B"/>
    <w:rsid w:val="001548A0"/>
    <w:rsid w:val="001575E7"/>
    <w:rsid w:val="001579DD"/>
    <w:rsid w:val="00157D1B"/>
    <w:rsid w:val="001625CF"/>
    <w:rsid w:val="001650A7"/>
    <w:rsid w:val="00165AB7"/>
    <w:rsid w:val="00166379"/>
    <w:rsid w:val="0017435B"/>
    <w:rsid w:val="001842BF"/>
    <w:rsid w:val="00186668"/>
    <w:rsid w:val="00196059"/>
    <w:rsid w:val="001A0671"/>
    <w:rsid w:val="001A195F"/>
    <w:rsid w:val="001A3440"/>
    <w:rsid w:val="001A6399"/>
    <w:rsid w:val="001A6D93"/>
    <w:rsid w:val="001A7265"/>
    <w:rsid w:val="001A78AB"/>
    <w:rsid w:val="001B1C9F"/>
    <w:rsid w:val="001B7B6F"/>
    <w:rsid w:val="001D05C5"/>
    <w:rsid w:val="001D2C1C"/>
    <w:rsid w:val="001D3250"/>
    <w:rsid w:val="001D64F0"/>
    <w:rsid w:val="001D7BE2"/>
    <w:rsid w:val="001F02B7"/>
    <w:rsid w:val="001F2722"/>
    <w:rsid w:val="001F37C1"/>
    <w:rsid w:val="001F495F"/>
    <w:rsid w:val="001F5AB5"/>
    <w:rsid w:val="001F680F"/>
    <w:rsid w:val="001F6970"/>
    <w:rsid w:val="00201439"/>
    <w:rsid w:val="00206FB7"/>
    <w:rsid w:val="00210F92"/>
    <w:rsid w:val="00212D74"/>
    <w:rsid w:val="002130EF"/>
    <w:rsid w:val="00217A47"/>
    <w:rsid w:val="0022058F"/>
    <w:rsid w:val="0022739A"/>
    <w:rsid w:val="002309D2"/>
    <w:rsid w:val="00230A5D"/>
    <w:rsid w:val="00232B7F"/>
    <w:rsid w:val="00232E76"/>
    <w:rsid w:val="002361B3"/>
    <w:rsid w:val="0024231C"/>
    <w:rsid w:val="00250F37"/>
    <w:rsid w:val="0025117F"/>
    <w:rsid w:val="00252134"/>
    <w:rsid w:val="002611B0"/>
    <w:rsid w:val="00261DB3"/>
    <w:rsid w:val="00261F2B"/>
    <w:rsid w:val="002626A2"/>
    <w:rsid w:val="00262DC7"/>
    <w:rsid w:val="00263C2F"/>
    <w:rsid w:val="00265841"/>
    <w:rsid w:val="00274EE4"/>
    <w:rsid w:val="0027534F"/>
    <w:rsid w:val="00280BFE"/>
    <w:rsid w:val="0029149B"/>
    <w:rsid w:val="00292A43"/>
    <w:rsid w:val="00292DAD"/>
    <w:rsid w:val="002A05B2"/>
    <w:rsid w:val="002A1072"/>
    <w:rsid w:val="002A6DEF"/>
    <w:rsid w:val="002B3C96"/>
    <w:rsid w:val="002C04E7"/>
    <w:rsid w:val="002D2F1C"/>
    <w:rsid w:val="002D4173"/>
    <w:rsid w:val="002D68C0"/>
    <w:rsid w:val="002E13D8"/>
    <w:rsid w:val="002E5BE9"/>
    <w:rsid w:val="002E5E71"/>
    <w:rsid w:val="002E662D"/>
    <w:rsid w:val="002E7606"/>
    <w:rsid w:val="002E7763"/>
    <w:rsid w:val="002F125F"/>
    <w:rsid w:val="002F18B6"/>
    <w:rsid w:val="002F2B7E"/>
    <w:rsid w:val="002F32C1"/>
    <w:rsid w:val="002F4E1C"/>
    <w:rsid w:val="002F6C91"/>
    <w:rsid w:val="002F7D91"/>
    <w:rsid w:val="00302770"/>
    <w:rsid w:val="00304CD4"/>
    <w:rsid w:val="0030759A"/>
    <w:rsid w:val="0030779F"/>
    <w:rsid w:val="00316159"/>
    <w:rsid w:val="00317264"/>
    <w:rsid w:val="003218CD"/>
    <w:rsid w:val="00322A45"/>
    <w:rsid w:val="003235E7"/>
    <w:rsid w:val="003238A0"/>
    <w:rsid w:val="0032712F"/>
    <w:rsid w:val="00333B67"/>
    <w:rsid w:val="00340DF4"/>
    <w:rsid w:val="00343840"/>
    <w:rsid w:val="003448DA"/>
    <w:rsid w:val="00344E6F"/>
    <w:rsid w:val="003457D4"/>
    <w:rsid w:val="0034707D"/>
    <w:rsid w:val="003506C8"/>
    <w:rsid w:val="00352C2B"/>
    <w:rsid w:val="00353265"/>
    <w:rsid w:val="00353E38"/>
    <w:rsid w:val="00354C51"/>
    <w:rsid w:val="003633E8"/>
    <w:rsid w:val="00370D4C"/>
    <w:rsid w:val="00373AF8"/>
    <w:rsid w:val="00374145"/>
    <w:rsid w:val="0037443E"/>
    <w:rsid w:val="00375512"/>
    <w:rsid w:val="003859E3"/>
    <w:rsid w:val="003869B4"/>
    <w:rsid w:val="003922B2"/>
    <w:rsid w:val="00393644"/>
    <w:rsid w:val="003966CB"/>
    <w:rsid w:val="00396B96"/>
    <w:rsid w:val="0039791A"/>
    <w:rsid w:val="00397C90"/>
    <w:rsid w:val="003B08CA"/>
    <w:rsid w:val="003B1C25"/>
    <w:rsid w:val="003B2207"/>
    <w:rsid w:val="003B3CFD"/>
    <w:rsid w:val="003B3EDC"/>
    <w:rsid w:val="003C35D3"/>
    <w:rsid w:val="003D0887"/>
    <w:rsid w:val="003D4C9B"/>
    <w:rsid w:val="003D4DFD"/>
    <w:rsid w:val="003D5E7F"/>
    <w:rsid w:val="003E274B"/>
    <w:rsid w:val="003E435B"/>
    <w:rsid w:val="003E6493"/>
    <w:rsid w:val="003F1928"/>
    <w:rsid w:val="003F2862"/>
    <w:rsid w:val="003F3125"/>
    <w:rsid w:val="003F4BD4"/>
    <w:rsid w:val="003F5419"/>
    <w:rsid w:val="003F6112"/>
    <w:rsid w:val="00400256"/>
    <w:rsid w:val="00400E6A"/>
    <w:rsid w:val="00402CD6"/>
    <w:rsid w:val="004101BB"/>
    <w:rsid w:val="00421173"/>
    <w:rsid w:val="004308F8"/>
    <w:rsid w:val="004311A7"/>
    <w:rsid w:val="0043570E"/>
    <w:rsid w:val="0043673E"/>
    <w:rsid w:val="004508DB"/>
    <w:rsid w:val="004542BE"/>
    <w:rsid w:val="00460079"/>
    <w:rsid w:val="004675F1"/>
    <w:rsid w:val="00470131"/>
    <w:rsid w:val="004715B6"/>
    <w:rsid w:val="00472116"/>
    <w:rsid w:val="00474324"/>
    <w:rsid w:val="0047446D"/>
    <w:rsid w:val="004750A4"/>
    <w:rsid w:val="0047613F"/>
    <w:rsid w:val="00476AED"/>
    <w:rsid w:val="00480377"/>
    <w:rsid w:val="00481E52"/>
    <w:rsid w:val="0048630B"/>
    <w:rsid w:val="0048751F"/>
    <w:rsid w:val="00491813"/>
    <w:rsid w:val="00491B0D"/>
    <w:rsid w:val="004923D9"/>
    <w:rsid w:val="0049318A"/>
    <w:rsid w:val="004A0803"/>
    <w:rsid w:val="004A2EF1"/>
    <w:rsid w:val="004A4EF5"/>
    <w:rsid w:val="004C5359"/>
    <w:rsid w:val="004D12EE"/>
    <w:rsid w:val="004D6A29"/>
    <w:rsid w:val="004D7C6B"/>
    <w:rsid w:val="004E05CD"/>
    <w:rsid w:val="004E37FA"/>
    <w:rsid w:val="004E4A7A"/>
    <w:rsid w:val="004E5F0C"/>
    <w:rsid w:val="004E7E06"/>
    <w:rsid w:val="004F0F50"/>
    <w:rsid w:val="004F5F10"/>
    <w:rsid w:val="004F6AE6"/>
    <w:rsid w:val="0050229D"/>
    <w:rsid w:val="005037C2"/>
    <w:rsid w:val="00522682"/>
    <w:rsid w:val="005226CF"/>
    <w:rsid w:val="00524D30"/>
    <w:rsid w:val="00533D2F"/>
    <w:rsid w:val="00534479"/>
    <w:rsid w:val="00542E6F"/>
    <w:rsid w:val="00546172"/>
    <w:rsid w:val="00546315"/>
    <w:rsid w:val="00546EBA"/>
    <w:rsid w:val="00550774"/>
    <w:rsid w:val="00552472"/>
    <w:rsid w:val="00552A6A"/>
    <w:rsid w:val="005543E2"/>
    <w:rsid w:val="00554F1A"/>
    <w:rsid w:val="0056240B"/>
    <w:rsid w:val="00567F56"/>
    <w:rsid w:val="00572567"/>
    <w:rsid w:val="00574F2A"/>
    <w:rsid w:val="005767CF"/>
    <w:rsid w:val="00580419"/>
    <w:rsid w:val="00583480"/>
    <w:rsid w:val="00584C07"/>
    <w:rsid w:val="005863DD"/>
    <w:rsid w:val="00586DD3"/>
    <w:rsid w:val="005910BA"/>
    <w:rsid w:val="005A44D0"/>
    <w:rsid w:val="005A6261"/>
    <w:rsid w:val="005A6CA8"/>
    <w:rsid w:val="005B3AE8"/>
    <w:rsid w:val="005C6679"/>
    <w:rsid w:val="005D0A93"/>
    <w:rsid w:val="005D344F"/>
    <w:rsid w:val="005D5CCA"/>
    <w:rsid w:val="005D6917"/>
    <w:rsid w:val="005D7668"/>
    <w:rsid w:val="005E08E8"/>
    <w:rsid w:val="005E2672"/>
    <w:rsid w:val="005E5582"/>
    <w:rsid w:val="005E6DF5"/>
    <w:rsid w:val="005F0D54"/>
    <w:rsid w:val="005F477C"/>
    <w:rsid w:val="005F498E"/>
    <w:rsid w:val="005F5988"/>
    <w:rsid w:val="005F5F50"/>
    <w:rsid w:val="005F62FF"/>
    <w:rsid w:val="005F68EC"/>
    <w:rsid w:val="005F758A"/>
    <w:rsid w:val="00605B4E"/>
    <w:rsid w:val="0061225D"/>
    <w:rsid w:val="00616CCA"/>
    <w:rsid w:val="00617981"/>
    <w:rsid w:val="006237EB"/>
    <w:rsid w:val="00626C57"/>
    <w:rsid w:val="00630E23"/>
    <w:rsid w:val="0063144B"/>
    <w:rsid w:val="006318B6"/>
    <w:rsid w:val="006363BF"/>
    <w:rsid w:val="00636816"/>
    <w:rsid w:val="00640196"/>
    <w:rsid w:val="006429C2"/>
    <w:rsid w:val="0064498E"/>
    <w:rsid w:val="00645074"/>
    <w:rsid w:val="00652233"/>
    <w:rsid w:val="00657BBD"/>
    <w:rsid w:val="006619EA"/>
    <w:rsid w:val="00661CF6"/>
    <w:rsid w:val="00662004"/>
    <w:rsid w:val="0067793D"/>
    <w:rsid w:val="00685092"/>
    <w:rsid w:val="006931D9"/>
    <w:rsid w:val="006944F9"/>
    <w:rsid w:val="006A35BE"/>
    <w:rsid w:val="006A3AF4"/>
    <w:rsid w:val="006B4C7B"/>
    <w:rsid w:val="006B557C"/>
    <w:rsid w:val="006B5628"/>
    <w:rsid w:val="006B6B51"/>
    <w:rsid w:val="006B6DCE"/>
    <w:rsid w:val="006C27E7"/>
    <w:rsid w:val="006C30AA"/>
    <w:rsid w:val="006D29E8"/>
    <w:rsid w:val="006D3CDF"/>
    <w:rsid w:val="006D5CD5"/>
    <w:rsid w:val="006D6355"/>
    <w:rsid w:val="006F16D7"/>
    <w:rsid w:val="006F16D8"/>
    <w:rsid w:val="006F3758"/>
    <w:rsid w:val="006F6149"/>
    <w:rsid w:val="0070152E"/>
    <w:rsid w:val="00704517"/>
    <w:rsid w:val="007116B2"/>
    <w:rsid w:val="00713D69"/>
    <w:rsid w:val="00714B0A"/>
    <w:rsid w:val="00720913"/>
    <w:rsid w:val="007213BF"/>
    <w:rsid w:val="00721ABA"/>
    <w:rsid w:val="00721E74"/>
    <w:rsid w:val="00731357"/>
    <w:rsid w:val="0073493E"/>
    <w:rsid w:val="007369BB"/>
    <w:rsid w:val="007370D7"/>
    <w:rsid w:val="00737908"/>
    <w:rsid w:val="00737C6D"/>
    <w:rsid w:val="00744224"/>
    <w:rsid w:val="00746992"/>
    <w:rsid w:val="00747A1A"/>
    <w:rsid w:val="007532CC"/>
    <w:rsid w:val="00754FDF"/>
    <w:rsid w:val="00755E5B"/>
    <w:rsid w:val="00760F98"/>
    <w:rsid w:val="00762CAD"/>
    <w:rsid w:val="00762E2B"/>
    <w:rsid w:val="0077469E"/>
    <w:rsid w:val="00775D01"/>
    <w:rsid w:val="00776750"/>
    <w:rsid w:val="00780D9E"/>
    <w:rsid w:val="00781CAB"/>
    <w:rsid w:val="0078274E"/>
    <w:rsid w:val="00790124"/>
    <w:rsid w:val="00791183"/>
    <w:rsid w:val="00792A3A"/>
    <w:rsid w:val="0079429D"/>
    <w:rsid w:val="007944D9"/>
    <w:rsid w:val="00794920"/>
    <w:rsid w:val="007A249C"/>
    <w:rsid w:val="007A2872"/>
    <w:rsid w:val="007A4133"/>
    <w:rsid w:val="007A5939"/>
    <w:rsid w:val="007B0F19"/>
    <w:rsid w:val="007B1988"/>
    <w:rsid w:val="007B1AD5"/>
    <w:rsid w:val="007B3256"/>
    <w:rsid w:val="007B4FFF"/>
    <w:rsid w:val="007C091B"/>
    <w:rsid w:val="007C170E"/>
    <w:rsid w:val="007C39E5"/>
    <w:rsid w:val="007D2060"/>
    <w:rsid w:val="007D2FE1"/>
    <w:rsid w:val="007D7F78"/>
    <w:rsid w:val="007E063E"/>
    <w:rsid w:val="007E10F9"/>
    <w:rsid w:val="007E262F"/>
    <w:rsid w:val="007E514E"/>
    <w:rsid w:val="007E72A0"/>
    <w:rsid w:val="007F58A7"/>
    <w:rsid w:val="007F75BD"/>
    <w:rsid w:val="008048CA"/>
    <w:rsid w:val="00807B09"/>
    <w:rsid w:val="0081581B"/>
    <w:rsid w:val="00821E3F"/>
    <w:rsid w:val="008251FE"/>
    <w:rsid w:val="00833C06"/>
    <w:rsid w:val="00834630"/>
    <w:rsid w:val="00834EB9"/>
    <w:rsid w:val="00835C22"/>
    <w:rsid w:val="00840772"/>
    <w:rsid w:val="00840A80"/>
    <w:rsid w:val="008412F8"/>
    <w:rsid w:val="0084405C"/>
    <w:rsid w:val="00850F93"/>
    <w:rsid w:val="008520D8"/>
    <w:rsid w:val="00862F39"/>
    <w:rsid w:val="00866991"/>
    <w:rsid w:val="00867CD9"/>
    <w:rsid w:val="00874B5A"/>
    <w:rsid w:val="00880189"/>
    <w:rsid w:val="008815EB"/>
    <w:rsid w:val="00887E27"/>
    <w:rsid w:val="00891D8B"/>
    <w:rsid w:val="0089262D"/>
    <w:rsid w:val="008942FA"/>
    <w:rsid w:val="008A057C"/>
    <w:rsid w:val="008A12DC"/>
    <w:rsid w:val="008A3B76"/>
    <w:rsid w:val="008A45A6"/>
    <w:rsid w:val="008B1785"/>
    <w:rsid w:val="008B5CED"/>
    <w:rsid w:val="008C74FB"/>
    <w:rsid w:val="008D287D"/>
    <w:rsid w:val="008D3690"/>
    <w:rsid w:val="008E0170"/>
    <w:rsid w:val="008E1124"/>
    <w:rsid w:val="008F1AFB"/>
    <w:rsid w:val="008F4C81"/>
    <w:rsid w:val="008F6070"/>
    <w:rsid w:val="008F6A87"/>
    <w:rsid w:val="00900744"/>
    <w:rsid w:val="009008FC"/>
    <w:rsid w:val="00900FE2"/>
    <w:rsid w:val="00902D33"/>
    <w:rsid w:val="0090312F"/>
    <w:rsid w:val="00904B9F"/>
    <w:rsid w:val="00913664"/>
    <w:rsid w:val="0091706D"/>
    <w:rsid w:val="0092125F"/>
    <w:rsid w:val="00924A1D"/>
    <w:rsid w:val="00925801"/>
    <w:rsid w:val="009270BA"/>
    <w:rsid w:val="00934FDB"/>
    <w:rsid w:val="00935991"/>
    <w:rsid w:val="009367A7"/>
    <w:rsid w:val="00940E61"/>
    <w:rsid w:val="009421FC"/>
    <w:rsid w:val="00946A17"/>
    <w:rsid w:val="00947B36"/>
    <w:rsid w:val="00950AA6"/>
    <w:rsid w:val="00951725"/>
    <w:rsid w:val="00957E63"/>
    <w:rsid w:val="00961DFA"/>
    <w:rsid w:val="00962432"/>
    <w:rsid w:val="00974082"/>
    <w:rsid w:val="00977623"/>
    <w:rsid w:val="00977EFB"/>
    <w:rsid w:val="00977FB1"/>
    <w:rsid w:val="00984EA9"/>
    <w:rsid w:val="00987132"/>
    <w:rsid w:val="009913AE"/>
    <w:rsid w:val="00995253"/>
    <w:rsid w:val="00997AC9"/>
    <w:rsid w:val="009A5DE5"/>
    <w:rsid w:val="009B5D32"/>
    <w:rsid w:val="009C2C22"/>
    <w:rsid w:val="009C50DA"/>
    <w:rsid w:val="009C5996"/>
    <w:rsid w:val="009C6CA4"/>
    <w:rsid w:val="009C7F6D"/>
    <w:rsid w:val="009D2179"/>
    <w:rsid w:val="009D6AC7"/>
    <w:rsid w:val="009E0113"/>
    <w:rsid w:val="009E14E9"/>
    <w:rsid w:val="009E413C"/>
    <w:rsid w:val="009E4297"/>
    <w:rsid w:val="009E6220"/>
    <w:rsid w:val="009F14A8"/>
    <w:rsid w:val="009F2561"/>
    <w:rsid w:val="009F3642"/>
    <w:rsid w:val="009F7FEF"/>
    <w:rsid w:val="00A002F3"/>
    <w:rsid w:val="00A11A2B"/>
    <w:rsid w:val="00A14D38"/>
    <w:rsid w:val="00A1520D"/>
    <w:rsid w:val="00A20130"/>
    <w:rsid w:val="00A22593"/>
    <w:rsid w:val="00A22FE2"/>
    <w:rsid w:val="00A27C5C"/>
    <w:rsid w:val="00A3014B"/>
    <w:rsid w:val="00A316E5"/>
    <w:rsid w:val="00A34889"/>
    <w:rsid w:val="00A364EF"/>
    <w:rsid w:val="00A40D47"/>
    <w:rsid w:val="00A45CCB"/>
    <w:rsid w:val="00A45D71"/>
    <w:rsid w:val="00A53D69"/>
    <w:rsid w:val="00A6299F"/>
    <w:rsid w:val="00A62C4F"/>
    <w:rsid w:val="00A6617C"/>
    <w:rsid w:val="00A70D16"/>
    <w:rsid w:val="00A7130C"/>
    <w:rsid w:val="00A73319"/>
    <w:rsid w:val="00A811B4"/>
    <w:rsid w:val="00A8313A"/>
    <w:rsid w:val="00A8497E"/>
    <w:rsid w:val="00A86635"/>
    <w:rsid w:val="00A86A9F"/>
    <w:rsid w:val="00A86C08"/>
    <w:rsid w:val="00A919C7"/>
    <w:rsid w:val="00A93B28"/>
    <w:rsid w:val="00AA3173"/>
    <w:rsid w:val="00AA67B0"/>
    <w:rsid w:val="00AB7CE6"/>
    <w:rsid w:val="00AC1187"/>
    <w:rsid w:val="00AC2116"/>
    <w:rsid w:val="00AC2CA4"/>
    <w:rsid w:val="00AC64EC"/>
    <w:rsid w:val="00AC6D2A"/>
    <w:rsid w:val="00AD0397"/>
    <w:rsid w:val="00AE2F5D"/>
    <w:rsid w:val="00AE3415"/>
    <w:rsid w:val="00AE6FDB"/>
    <w:rsid w:val="00AF081B"/>
    <w:rsid w:val="00AF37EB"/>
    <w:rsid w:val="00AF436A"/>
    <w:rsid w:val="00AF5141"/>
    <w:rsid w:val="00AF7035"/>
    <w:rsid w:val="00B00A5A"/>
    <w:rsid w:val="00B0383D"/>
    <w:rsid w:val="00B04695"/>
    <w:rsid w:val="00B05159"/>
    <w:rsid w:val="00B06A96"/>
    <w:rsid w:val="00B10154"/>
    <w:rsid w:val="00B14339"/>
    <w:rsid w:val="00B153E2"/>
    <w:rsid w:val="00B208A0"/>
    <w:rsid w:val="00B2145D"/>
    <w:rsid w:val="00B261FA"/>
    <w:rsid w:val="00B32BBA"/>
    <w:rsid w:val="00B34401"/>
    <w:rsid w:val="00B344FA"/>
    <w:rsid w:val="00B42CEA"/>
    <w:rsid w:val="00B50190"/>
    <w:rsid w:val="00B60370"/>
    <w:rsid w:val="00B60F23"/>
    <w:rsid w:val="00B62651"/>
    <w:rsid w:val="00B677A5"/>
    <w:rsid w:val="00B71204"/>
    <w:rsid w:val="00B71AD2"/>
    <w:rsid w:val="00B73FDD"/>
    <w:rsid w:val="00B76DD2"/>
    <w:rsid w:val="00B76E41"/>
    <w:rsid w:val="00B779DB"/>
    <w:rsid w:val="00B81CA8"/>
    <w:rsid w:val="00B83F2B"/>
    <w:rsid w:val="00B840AB"/>
    <w:rsid w:val="00B87A00"/>
    <w:rsid w:val="00B903F1"/>
    <w:rsid w:val="00B92F4A"/>
    <w:rsid w:val="00B962BC"/>
    <w:rsid w:val="00B9657D"/>
    <w:rsid w:val="00BA0D19"/>
    <w:rsid w:val="00BA1ABD"/>
    <w:rsid w:val="00BB1A6E"/>
    <w:rsid w:val="00BB3319"/>
    <w:rsid w:val="00BB3CBF"/>
    <w:rsid w:val="00BB49B3"/>
    <w:rsid w:val="00BB4ACA"/>
    <w:rsid w:val="00BB6C9E"/>
    <w:rsid w:val="00BC2664"/>
    <w:rsid w:val="00BC5099"/>
    <w:rsid w:val="00BD129B"/>
    <w:rsid w:val="00BD1ED3"/>
    <w:rsid w:val="00BD415F"/>
    <w:rsid w:val="00BE0AFA"/>
    <w:rsid w:val="00BE66AD"/>
    <w:rsid w:val="00BE7BA6"/>
    <w:rsid w:val="00BF0B46"/>
    <w:rsid w:val="00BF1234"/>
    <w:rsid w:val="00BF6B08"/>
    <w:rsid w:val="00BF6E2B"/>
    <w:rsid w:val="00BF7747"/>
    <w:rsid w:val="00C0402A"/>
    <w:rsid w:val="00C04831"/>
    <w:rsid w:val="00C05D1D"/>
    <w:rsid w:val="00C07C59"/>
    <w:rsid w:val="00C110F5"/>
    <w:rsid w:val="00C14AAA"/>
    <w:rsid w:val="00C15BF1"/>
    <w:rsid w:val="00C20B4B"/>
    <w:rsid w:val="00C24CD5"/>
    <w:rsid w:val="00C30579"/>
    <w:rsid w:val="00C34913"/>
    <w:rsid w:val="00C409F4"/>
    <w:rsid w:val="00C4164D"/>
    <w:rsid w:val="00C4549A"/>
    <w:rsid w:val="00C47010"/>
    <w:rsid w:val="00C50B3F"/>
    <w:rsid w:val="00C50C49"/>
    <w:rsid w:val="00C51087"/>
    <w:rsid w:val="00C5295F"/>
    <w:rsid w:val="00C5322E"/>
    <w:rsid w:val="00C5637E"/>
    <w:rsid w:val="00C63737"/>
    <w:rsid w:val="00C744CE"/>
    <w:rsid w:val="00C745FD"/>
    <w:rsid w:val="00C75DA3"/>
    <w:rsid w:val="00C76EF9"/>
    <w:rsid w:val="00C81E34"/>
    <w:rsid w:val="00C82E08"/>
    <w:rsid w:val="00C8740A"/>
    <w:rsid w:val="00C91727"/>
    <w:rsid w:val="00C9258E"/>
    <w:rsid w:val="00CA0223"/>
    <w:rsid w:val="00CA121D"/>
    <w:rsid w:val="00CA1E5F"/>
    <w:rsid w:val="00CA3D9C"/>
    <w:rsid w:val="00CA5B1A"/>
    <w:rsid w:val="00CA76D8"/>
    <w:rsid w:val="00CB00AF"/>
    <w:rsid w:val="00CB4A15"/>
    <w:rsid w:val="00CB7118"/>
    <w:rsid w:val="00CB77AF"/>
    <w:rsid w:val="00CC1849"/>
    <w:rsid w:val="00CC21A7"/>
    <w:rsid w:val="00CC2AED"/>
    <w:rsid w:val="00CC6CC1"/>
    <w:rsid w:val="00CC7910"/>
    <w:rsid w:val="00CD2BB1"/>
    <w:rsid w:val="00CD7BFC"/>
    <w:rsid w:val="00CE180D"/>
    <w:rsid w:val="00CE3559"/>
    <w:rsid w:val="00CE6748"/>
    <w:rsid w:val="00CE7114"/>
    <w:rsid w:val="00CE752C"/>
    <w:rsid w:val="00CE7843"/>
    <w:rsid w:val="00CE7A56"/>
    <w:rsid w:val="00CF0567"/>
    <w:rsid w:val="00CF230A"/>
    <w:rsid w:val="00CF521C"/>
    <w:rsid w:val="00D0207F"/>
    <w:rsid w:val="00D0502F"/>
    <w:rsid w:val="00D062B8"/>
    <w:rsid w:val="00D06BB6"/>
    <w:rsid w:val="00D10211"/>
    <w:rsid w:val="00D14CCE"/>
    <w:rsid w:val="00D17B62"/>
    <w:rsid w:val="00D20526"/>
    <w:rsid w:val="00D2217D"/>
    <w:rsid w:val="00D268A1"/>
    <w:rsid w:val="00D26C01"/>
    <w:rsid w:val="00D414FE"/>
    <w:rsid w:val="00D4243D"/>
    <w:rsid w:val="00D4349B"/>
    <w:rsid w:val="00D43B92"/>
    <w:rsid w:val="00D51FB2"/>
    <w:rsid w:val="00D5276F"/>
    <w:rsid w:val="00D53E39"/>
    <w:rsid w:val="00D61DCA"/>
    <w:rsid w:val="00D633FB"/>
    <w:rsid w:val="00D66EB3"/>
    <w:rsid w:val="00D70A7B"/>
    <w:rsid w:val="00D70B7E"/>
    <w:rsid w:val="00D861AB"/>
    <w:rsid w:val="00D93F11"/>
    <w:rsid w:val="00D96B50"/>
    <w:rsid w:val="00DA19A0"/>
    <w:rsid w:val="00DB0532"/>
    <w:rsid w:val="00DB4AF9"/>
    <w:rsid w:val="00DB562D"/>
    <w:rsid w:val="00DC6010"/>
    <w:rsid w:val="00DD285B"/>
    <w:rsid w:val="00DD3B47"/>
    <w:rsid w:val="00DE3C14"/>
    <w:rsid w:val="00DE620E"/>
    <w:rsid w:val="00DE6328"/>
    <w:rsid w:val="00DE70B3"/>
    <w:rsid w:val="00DE7527"/>
    <w:rsid w:val="00DE76C1"/>
    <w:rsid w:val="00DF0EBA"/>
    <w:rsid w:val="00DF1447"/>
    <w:rsid w:val="00DF620C"/>
    <w:rsid w:val="00E049B7"/>
    <w:rsid w:val="00E05F17"/>
    <w:rsid w:val="00E072F7"/>
    <w:rsid w:val="00E10032"/>
    <w:rsid w:val="00E112AE"/>
    <w:rsid w:val="00E24CBE"/>
    <w:rsid w:val="00E31891"/>
    <w:rsid w:val="00E335EB"/>
    <w:rsid w:val="00E35814"/>
    <w:rsid w:val="00E4171B"/>
    <w:rsid w:val="00E4503C"/>
    <w:rsid w:val="00E50229"/>
    <w:rsid w:val="00E505CA"/>
    <w:rsid w:val="00E56AC7"/>
    <w:rsid w:val="00E60106"/>
    <w:rsid w:val="00E62925"/>
    <w:rsid w:val="00E640E3"/>
    <w:rsid w:val="00E67619"/>
    <w:rsid w:val="00E67801"/>
    <w:rsid w:val="00E701B9"/>
    <w:rsid w:val="00E70954"/>
    <w:rsid w:val="00E72741"/>
    <w:rsid w:val="00E76420"/>
    <w:rsid w:val="00E8032D"/>
    <w:rsid w:val="00E8284D"/>
    <w:rsid w:val="00E84CE4"/>
    <w:rsid w:val="00E8628D"/>
    <w:rsid w:val="00E9268A"/>
    <w:rsid w:val="00EA1CCB"/>
    <w:rsid w:val="00EB4826"/>
    <w:rsid w:val="00EB49B3"/>
    <w:rsid w:val="00EC4BAF"/>
    <w:rsid w:val="00EC4D43"/>
    <w:rsid w:val="00ED1533"/>
    <w:rsid w:val="00ED2A86"/>
    <w:rsid w:val="00ED66E4"/>
    <w:rsid w:val="00EE3A0B"/>
    <w:rsid w:val="00EE658A"/>
    <w:rsid w:val="00EE6631"/>
    <w:rsid w:val="00EF4B12"/>
    <w:rsid w:val="00EF6E89"/>
    <w:rsid w:val="00EF75F5"/>
    <w:rsid w:val="00EF7D5A"/>
    <w:rsid w:val="00F05426"/>
    <w:rsid w:val="00F11C0D"/>
    <w:rsid w:val="00F1299F"/>
    <w:rsid w:val="00F16B98"/>
    <w:rsid w:val="00F1775B"/>
    <w:rsid w:val="00F20BFE"/>
    <w:rsid w:val="00F22730"/>
    <w:rsid w:val="00F31A0A"/>
    <w:rsid w:val="00F3285B"/>
    <w:rsid w:val="00F33FA0"/>
    <w:rsid w:val="00F34732"/>
    <w:rsid w:val="00F356AA"/>
    <w:rsid w:val="00F35C2F"/>
    <w:rsid w:val="00F35E27"/>
    <w:rsid w:val="00F35ED1"/>
    <w:rsid w:val="00F40B64"/>
    <w:rsid w:val="00F54208"/>
    <w:rsid w:val="00F54AFE"/>
    <w:rsid w:val="00F566D9"/>
    <w:rsid w:val="00F56E92"/>
    <w:rsid w:val="00F57CD0"/>
    <w:rsid w:val="00F6623F"/>
    <w:rsid w:val="00F7112A"/>
    <w:rsid w:val="00F7175D"/>
    <w:rsid w:val="00F717A3"/>
    <w:rsid w:val="00F72AB1"/>
    <w:rsid w:val="00F73394"/>
    <w:rsid w:val="00F73538"/>
    <w:rsid w:val="00F81221"/>
    <w:rsid w:val="00F81882"/>
    <w:rsid w:val="00FA0D83"/>
    <w:rsid w:val="00FA1004"/>
    <w:rsid w:val="00FA1F58"/>
    <w:rsid w:val="00FA4BEF"/>
    <w:rsid w:val="00FA4DFA"/>
    <w:rsid w:val="00FA5443"/>
    <w:rsid w:val="00FA5BFE"/>
    <w:rsid w:val="00FB005C"/>
    <w:rsid w:val="00FB0800"/>
    <w:rsid w:val="00FB6700"/>
    <w:rsid w:val="00FC04D6"/>
    <w:rsid w:val="00FC7EF8"/>
    <w:rsid w:val="00FD053D"/>
    <w:rsid w:val="00FD067B"/>
    <w:rsid w:val="00FD3689"/>
    <w:rsid w:val="00FD7B6C"/>
    <w:rsid w:val="00FE1354"/>
    <w:rsid w:val="00FE30C2"/>
    <w:rsid w:val="00FE4A1E"/>
    <w:rsid w:val="00FE5AD8"/>
    <w:rsid w:val="00FE5B94"/>
    <w:rsid w:val="00FE6334"/>
    <w:rsid w:val="00FE66CA"/>
    <w:rsid w:val="00FF22DA"/>
    <w:rsid w:val="00FF29FF"/>
    <w:rsid w:val="00FF4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7FDB68"/>
  <w15:docId w15:val="{87560ACF-974B-4575-BEB2-7DCC00AB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56"/>
    <w:pPr>
      <w:jc w:val="both"/>
    </w:pPr>
  </w:style>
  <w:style w:type="paragraph" w:styleId="Titre1">
    <w:name w:val="heading 1"/>
    <w:basedOn w:val="Normal"/>
    <w:next w:val="Normal"/>
    <w:link w:val="Titre1Car"/>
    <w:uiPriority w:val="9"/>
    <w:qFormat/>
    <w:rsid w:val="002130EF"/>
    <w:pPr>
      <w:keepNext/>
      <w:keepLines/>
      <w:numPr>
        <w:numId w:val="1"/>
      </w:numPr>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2130EF"/>
    <w:pPr>
      <w:keepNext/>
      <w:keepLines/>
      <w:numPr>
        <w:numId w:val="2"/>
      </w:numPr>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F72AB1"/>
    <w:pPr>
      <w:keepNext/>
      <w:keepLines/>
      <w:numPr>
        <w:numId w:val="5"/>
      </w:numPr>
      <w:spacing w:before="40" w:after="0"/>
      <w:outlineLvl w:val="2"/>
    </w:pPr>
    <w:rPr>
      <w:rFonts w:asciiTheme="majorHAnsi" w:eastAsiaTheme="majorEastAsia" w:hAnsiTheme="majorHAnsi"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0EF"/>
    <w:rPr>
      <w:rFonts w:asciiTheme="majorHAnsi" w:eastAsiaTheme="majorEastAsia" w:hAnsiTheme="majorHAnsi" w:cstheme="majorBidi"/>
      <w:sz w:val="32"/>
      <w:szCs w:val="32"/>
    </w:rPr>
  </w:style>
  <w:style w:type="character" w:customStyle="1" w:styleId="Titre2Car">
    <w:name w:val="Titre 2 Car"/>
    <w:basedOn w:val="Policepardfaut"/>
    <w:link w:val="Titre2"/>
    <w:uiPriority w:val="9"/>
    <w:rsid w:val="002130EF"/>
    <w:rPr>
      <w:rFonts w:asciiTheme="majorHAnsi" w:eastAsiaTheme="majorEastAsia" w:hAnsiTheme="majorHAnsi" w:cstheme="majorBidi"/>
      <w:sz w:val="26"/>
      <w:szCs w:val="26"/>
    </w:rPr>
  </w:style>
  <w:style w:type="paragraph" w:styleId="Notedebasdepage">
    <w:name w:val="footnote text"/>
    <w:basedOn w:val="Normal"/>
    <w:link w:val="NotedebasdepageCar"/>
    <w:uiPriority w:val="99"/>
    <w:semiHidden/>
    <w:unhideWhenUsed/>
    <w:rsid w:val="002130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30EF"/>
    <w:rPr>
      <w:sz w:val="20"/>
      <w:szCs w:val="20"/>
    </w:rPr>
  </w:style>
  <w:style w:type="character" w:styleId="Appelnotedebasdep">
    <w:name w:val="footnote reference"/>
    <w:basedOn w:val="Policepardfaut"/>
    <w:uiPriority w:val="99"/>
    <w:semiHidden/>
    <w:unhideWhenUsed/>
    <w:rsid w:val="002130EF"/>
    <w:rPr>
      <w:vertAlign w:val="superscript"/>
    </w:rPr>
  </w:style>
  <w:style w:type="paragraph" w:styleId="Paragraphedeliste">
    <w:name w:val="List Paragraph"/>
    <w:basedOn w:val="Normal"/>
    <w:uiPriority w:val="34"/>
    <w:qFormat/>
    <w:rsid w:val="00400256"/>
    <w:pPr>
      <w:ind w:left="720"/>
      <w:contextualSpacing/>
    </w:pPr>
  </w:style>
  <w:style w:type="paragraph" w:customStyle="1" w:styleId="Normal2">
    <w:name w:val="Normal2"/>
    <w:basedOn w:val="Normal"/>
    <w:link w:val="Normal2Car"/>
    <w:rsid w:val="0007639B"/>
    <w:pPr>
      <w:keepLines/>
      <w:tabs>
        <w:tab w:val="left" w:pos="567"/>
        <w:tab w:val="left" w:pos="851"/>
        <w:tab w:val="left" w:pos="1134"/>
      </w:tabs>
      <w:spacing w:after="0" w:line="240" w:lineRule="auto"/>
      <w:ind w:left="284" w:firstLine="284"/>
    </w:pPr>
    <w:rPr>
      <w:rFonts w:ascii="Times New Roman" w:eastAsia="Times New Roman" w:hAnsi="Times New Roman" w:cs="Times New Roman"/>
      <w:lang w:eastAsia="fr-FR"/>
    </w:rPr>
  </w:style>
  <w:style w:type="character" w:customStyle="1" w:styleId="Normal2Car">
    <w:name w:val="Normal2 Car"/>
    <w:link w:val="Normal2"/>
    <w:rsid w:val="0007639B"/>
    <w:rPr>
      <w:rFonts w:ascii="Times New Roman" w:eastAsia="Times New Roman" w:hAnsi="Times New Roman" w:cs="Times New Roman"/>
      <w:lang w:eastAsia="fr-FR"/>
    </w:rPr>
  </w:style>
  <w:style w:type="character" w:styleId="Lienhypertexte">
    <w:name w:val="Hyperlink"/>
    <w:basedOn w:val="Policepardfaut"/>
    <w:uiPriority w:val="99"/>
    <w:unhideWhenUsed/>
    <w:rsid w:val="00133F08"/>
    <w:rPr>
      <w:color w:val="0563C1" w:themeColor="hyperlink"/>
      <w:u w:val="single"/>
    </w:rPr>
  </w:style>
  <w:style w:type="character" w:customStyle="1" w:styleId="Titre3Car">
    <w:name w:val="Titre 3 Car"/>
    <w:basedOn w:val="Policepardfaut"/>
    <w:link w:val="Titre3"/>
    <w:uiPriority w:val="9"/>
    <w:rsid w:val="00F72AB1"/>
    <w:rPr>
      <w:rFonts w:asciiTheme="majorHAnsi" w:eastAsiaTheme="majorEastAsia" w:hAnsiTheme="majorHAnsi" w:cstheme="majorBidi"/>
      <w:color w:val="000000" w:themeColor="text1"/>
      <w:sz w:val="24"/>
      <w:szCs w:val="24"/>
    </w:rPr>
  </w:style>
  <w:style w:type="paragraph" w:styleId="En-ttedetabledesmatires">
    <w:name w:val="TOC Heading"/>
    <w:basedOn w:val="Titre1"/>
    <w:next w:val="Normal"/>
    <w:uiPriority w:val="39"/>
    <w:unhideWhenUsed/>
    <w:qFormat/>
    <w:rsid w:val="00421173"/>
    <w:pPr>
      <w:numPr>
        <w:numId w:val="0"/>
      </w:numPr>
      <w:jc w:val="left"/>
      <w:outlineLvl w:val="9"/>
    </w:pPr>
    <w:rPr>
      <w:color w:val="2E74B5" w:themeColor="accent1" w:themeShade="BF"/>
      <w:lang w:eastAsia="fr-FR"/>
    </w:rPr>
  </w:style>
  <w:style w:type="paragraph" w:styleId="TM1">
    <w:name w:val="toc 1"/>
    <w:basedOn w:val="Normal"/>
    <w:next w:val="Normal"/>
    <w:autoRedefine/>
    <w:uiPriority w:val="39"/>
    <w:unhideWhenUsed/>
    <w:rsid w:val="00421173"/>
    <w:pPr>
      <w:spacing w:after="100"/>
    </w:pPr>
  </w:style>
  <w:style w:type="paragraph" w:styleId="TM2">
    <w:name w:val="toc 2"/>
    <w:basedOn w:val="Normal"/>
    <w:next w:val="Normal"/>
    <w:autoRedefine/>
    <w:uiPriority w:val="39"/>
    <w:unhideWhenUsed/>
    <w:rsid w:val="00421173"/>
    <w:pPr>
      <w:spacing w:after="100"/>
      <w:ind w:left="220"/>
    </w:pPr>
  </w:style>
  <w:style w:type="paragraph" w:styleId="TM3">
    <w:name w:val="toc 3"/>
    <w:basedOn w:val="Normal"/>
    <w:next w:val="Normal"/>
    <w:autoRedefine/>
    <w:uiPriority w:val="39"/>
    <w:unhideWhenUsed/>
    <w:rsid w:val="00421173"/>
    <w:pPr>
      <w:spacing w:after="100"/>
      <w:ind w:left="440"/>
    </w:pPr>
  </w:style>
  <w:style w:type="paragraph" w:styleId="Sansinterligne">
    <w:name w:val="No Spacing"/>
    <w:link w:val="SansinterligneCar"/>
    <w:uiPriority w:val="1"/>
    <w:qFormat/>
    <w:rsid w:val="006368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36816"/>
    <w:rPr>
      <w:rFonts w:eastAsiaTheme="minorEastAsia"/>
      <w:lang w:eastAsia="fr-FR"/>
    </w:rPr>
  </w:style>
  <w:style w:type="table" w:styleId="Grilledutableau">
    <w:name w:val="Table Grid"/>
    <w:basedOn w:val="TableauNormal"/>
    <w:uiPriority w:val="39"/>
    <w:rsid w:val="0063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 2"/>
    <w:basedOn w:val="Normal"/>
    <w:uiPriority w:val="99"/>
    <w:rsid w:val="00636816"/>
    <w:pPr>
      <w:spacing w:after="0" w:line="240" w:lineRule="auto"/>
      <w:jc w:val="left"/>
    </w:pPr>
    <w:rPr>
      <w:rFonts w:ascii="Times New Roman" w:eastAsia="Times New Roman" w:hAnsi="Times New Roman" w:cs="Times New Roman"/>
      <w:b/>
      <w:szCs w:val="20"/>
      <w:lang w:eastAsia="fr-FR"/>
    </w:rPr>
  </w:style>
  <w:style w:type="paragraph" w:styleId="Textedebulles">
    <w:name w:val="Balloon Text"/>
    <w:basedOn w:val="Normal"/>
    <w:link w:val="TextedebullesCar"/>
    <w:uiPriority w:val="99"/>
    <w:semiHidden/>
    <w:unhideWhenUsed/>
    <w:rsid w:val="00A849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97E"/>
    <w:rPr>
      <w:rFonts w:ascii="Tahoma" w:hAnsi="Tahoma" w:cs="Tahoma"/>
      <w:sz w:val="16"/>
      <w:szCs w:val="16"/>
    </w:rPr>
  </w:style>
  <w:style w:type="paragraph" w:styleId="En-tte">
    <w:name w:val="header"/>
    <w:basedOn w:val="Normal"/>
    <w:link w:val="En-tteCar"/>
    <w:uiPriority w:val="99"/>
    <w:unhideWhenUsed/>
    <w:rsid w:val="00A1520D"/>
    <w:pPr>
      <w:tabs>
        <w:tab w:val="center" w:pos="4536"/>
        <w:tab w:val="right" w:pos="9072"/>
      </w:tabs>
      <w:spacing w:after="0" w:line="240" w:lineRule="auto"/>
    </w:pPr>
  </w:style>
  <w:style w:type="character" w:customStyle="1" w:styleId="En-tteCar">
    <w:name w:val="En-tête Car"/>
    <w:basedOn w:val="Policepardfaut"/>
    <w:link w:val="En-tte"/>
    <w:uiPriority w:val="99"/>
    <w:rsid w:val="00A1520D"/>
  </w:style>
  <w:style w:type="paragraph" w:styleId="Pieddepage">
    <w:name w:val="footer"/>
    <w:basedOn w:val="Normal"/>
    <w:link w:val="PieddepageCar"/>
    <w:uiPriority w:val="99"/>
    <w:unhideWhenUsed/>
    <w:rsid w:val="00A15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20D"/>
  </w:style>
  <w:style w:type="character" w:styleId="Marquedecommentaire">
    <w:name w:val="annotation reference"/>
    <w:basedOn w:val="Policepardfaut"/>
    <w:uiPriority w:val="99"/>
    <w:semiHidden/>
    <w:unhideWhenUsed/>
    <w:rsid w:val="001D05C5"/>
    <w:rPr>
      <w:sz w:val="16"/>
      <w:szCs w:val="16"/>
    </w:rPr>
  </w:style>
  <w:style w:type="paragraph" w:styleId="Commentaire">
    <w:name w:val="annotation text"/>
    <w:basedOn w:val="Normal"/>
    <w:link w:val="CommentaireCar"/>
    <w:uiPriority w:val="99"/>
    <w:semiHidden/>
    <w:unhideWhenUsed/>
    <w:rsid w:val="001D05C5"/>
    <w:pPr>
      <w:spacing w:line="240" w:lineRule="auto"/>
    </w:pPr>
    <w:rPr>
      <w:sz w:val="20"/>
      <w:szCs w:val="20"/>
    </w:rPr>
  </w:style>
  <w:style w:type="character" w:customStyle="1" w:styleId="CommentaireCar">
    <w:name w:val="Commentaire Car"/>
    <w:basedOn w:val="Policepardfaut"/>
    <w:link w:val="Commentaire"/>
    <w:uiPriority w:val="99"/>
    <w:semiHidden/>
    <w:rsid w:val="001D05C5"/>
    <w:rPr>
      <w:sz w:val="20"/>
      <w:szCs w:val="20"/>
    </w:rPr>
  </w:style>
  <w:style w:type="paragraph" w:styleId="Objetducommentaire">
    <w:name w:val="annotation subject"/>
    <w:basedOn w:val="Commentaire"/>
    <w:next w:val="Commentaire"/>
    <w:link w:val="ObjetducommentaireCar"/>
    <w:uiPriority w:val="99"/>
    <w:semiHidden/>
    <w:unhideWhenUsed/>
    <w:rsid w:val="001D05C5"/>
    <w:rPr>
      <w:b/>
      <w:bCs/>
    </w:rPr>
  </w:style>
  <w:style w:type="character" w:customStyle="1" w:styleId="ObjetducommentaireCar">
    <w:name w:val="Objet du commentaire Car"/>
    <w:basedOn w:val="CommentaireCar"/>
    <w:link w:val="Objetducommentaire"/>
    <w:uiPriority w:val="99"/>
    <w:semiHidden/>
    <w:rsid w:val="001D05C5"/>
    <w:rPr>
      <w:b/>
      <w:bCs/>
      <w:sz w:val="20"/>
      <w:szCs w:val="20"/>
    </w:rPr>
  </w:style>
  <w:style w:type="paragraph" w:styleId="Rvision">
    <w:name w:val="Revision"/>
    <w:hidden/>
    <w:uiPriority w:val="99"/>
    <w:semiHidden/>
    <w:rsid w:val="001D0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uts-de-sein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velin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velines.fr/solidarite/personnes-agees/autres-aides-dispositifs/prevenir-de-la-perte-dautonom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ference-des-financeurs@hauts-de-sein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5AD4-656D-4F18-B810-5AFAD591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2458</Words>
  <Characters>13522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BOUY Béatrice</dc:creator>
  <cp:lastModifiedBy>MICHEL Alice</cp:lastModifiedBy>
  <cp:revision>17</cp:revision>
  <dcterms:created xsi:type="dcterms:W3CDTF">2019-03-12T16:09:00Z</dcterms:created>
  <dcterms:modified xsi:type="dcterms:W3CDTF">2019-03-20T10:19:00Z</dcterms:modified>
</cp:coreProperties>
</file>